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1297" w14:textId="5F0DEFAF" w:rsidR="002A4FBC" w:rsidRDefault="002A4FBC" w:rsidP="002A4FBC">
      <w:pPr>
        <w:spacing w:after="200" w:line="360" w:lineRule="auto"/>
        <w:jc w:val="center"/>
        <w:rPr>
          <w:b/>
        </w:rPr>
      </w:pPr>
      <w:bookmarkStart w:id="0" w:name="_GoBack"/>
      <w:bookmarkEnd w:id="0"/>
      <w:r w:rsidRPr="0085125A">
        <w:rPr>
          <w:b/>
        </w:rPr>
        <w:t>C</w:t>
      </w:r>
      <w:r w:rsidR="00F5154F">
        <w:rPr>
          <w:b/>
        </w:rPr>
        <w:t>ausality between Macroeconomic D</w:t>
      </w:r>
      <w:r w:rsidRPr="0085125A">
        <w:rPr>
          <w:b/>
        </w:rPr>
        <w:t xml:space="preserve">eterminants and Energy Consumption in Rwanda (1990-2021) </w:t>
      </w:r>
    </w:p>
    <w:p w14:paraId="34B0ED02" w14:textId="4118FD80" w:rsidR="001B757C" w:rsidRPr="0085125A" w:rsidRDefault="001B757C" w:rsidP="002A4FBC">
      <w:pPr>
        <w:spacing w:after="200" w:line="360" w:lineRule="auto"/>
        <w:jc w:val="center"/>
        <w:rPr>
          <w:b/>
        </w:rPr>
      </w:pPr>
      <w:r>
        <w:rPr>
          <w:b/>
        </w:rPr>
        <w:t>Center for Development Policy (CDP)</w:t>
      </w:r>
    </w:p>
    <w:p w14:paraId="1F781D20" w14:textId="77777777" w:rsidR="002A4FBC" w:rsidRPr="0085125A" w:rsidRDefault="002A4FBC" w:rsidP="002A4FBC">
      <w:pPr>
        <w:spacing w:after="200" w:line="360" w:lineRule="auto"/>
        <w:jc w:val="center"/>
        <w:rPr>
          <w:spacing w:val="3"/>
        </w:rPr>
      </w:pPr>
      <w:r w:rsidRPr="0085125A">
        <w:rPr>
          <w:b/>
        </w:rPr>
        <w:t xml:space="preserve">Dr. Edward KADOZI &amp; Leon Moise </w:t>
      </w:r>
      <w:r w:rsidRPr="0085125A">
        <w:rPr>
          <w:b/>
          <w:spacing w:val="3"/>
        </w:rPr>
        <w:t>MINANI</w:t>
      </w:r>
    </w:p>
    <w:p w14:paraId="5E02082D" w14:textId="77777777" w:rsidR="002A4FBC" w:rsidRPr="0085125A" w:rsidRDefault="002A4FBC" w:rsidP="002A4FBC">
      <w:pPr>
        <w:spacing w:after="200" w:line="360" w:lineRule="auto"/>
        <w:jc w:val="center"/>
        <w:rPr>
          <w:spacing w:val="3"/>
        </w:rPr>
      </w:pPr>
      <w:r w:rsidRPr="0085125A">
        <w:rPr>
          <w:b/>
          <w:spacing w:val="3"/>
        </w:rPr>
        <w:t>Abstract</w:t>
      </w:r>
    </w:p>
    <w:p w14:paraId="54F728FF" w14:textId="596630F7" w:rsidR="00610FEC" w:rsidRDefault="002A4FBC" w:rsidP="002A4FBC">
      <w:pPr>
        <w:spacing w:after="200" w:line="360" w:lineRule="auto"/>
        <w:jc w:val="both"/>
        <w:rPr>
          <w:spacing w:val="3"/>
        </w:rPr>
        <w:sectPr w:rsidR="00610FEC" w:rsidSect="00610FEC">
          <w:headerReference w:type="default" r:id="rId8"/>
          <w:pgSz w:w="12240" w:h="15840"/>
          <w:pgMar w:top="1440" w:right="1440" w:bottom="1440" w:left="1440" w:header="720" w:footer="720" w:gutter="0"/>
          <w:pgNumType w:start="0"/>
          <w:cols w:space="720"/>
          <w:docGrid w:linePitch="360"/>
        </w:sectPr>
      </w:pPr>
      <w:r w:rsidRPr="0085125A">
        <w:rPr>
          <w:spacing w:val="3"/>
        </w:rPr>
        <w:t xml:space="preserve">Currently, energy access and its use are </w:t>
      </w:r>
      <w:r w:rsidR="001B757C">
        <w:rPr>
          <w:spacing w:val="3"/>
        </w:rPr>
        <w:t xml:space="preserve">increasingly becoming </w:t>
      </w:r>
      <w:r w:rsidRPr="0085125A">
        <w:rPr>
          <w:spacing w:val="3"/>
        </w:rPr>
        <w:t>development priorities for Africa, and Rwanda in particular, as a stimulus for</w:t>
      </w:r>
      <w:r w:rsidR="001B757C">
        <w:rPr>
          <w:spacing w:val="3"/>
        </w:rPr>
        <w:t xml:space="preserve"> economic growth</w:t>
      </w:r>
      <w:r w:rsidRPr="0085125A">
        <w:rPr>
          <w:spacing w:val="3"/>
        </w:rPr>
        <w:t xml:space="preserve">. This paper examines causal relationship between energy consumption and the macroeconomic variables in Rwanda </w:t>
      </w:r>
      <w:r w:rsidR="00057AD8">
        <w:rPr>
          <w:spacing w:val="3"/>
        </w:rPr>
        <w:t>for the period from</w:t>
      </w:r>
      <w:r w:rsidRPr="0085125A">
        <w:rPr>
          <w:spacing w:val="3"/>
        </w:rPr>
        <w:t xml:space="preserve"> 1990-2021. The analytical framework of this study is embedded in the theoretical framework of </w:t>
      </w:r>
      <w:r w:rsidR="00777D00">
        <w:rPr>
          <w:spacing w:val="3"/>
        </w:rPr>
        <w:t xml:space="preserve">the </w:t>
      </w:r>
      <w:r w:rsidRPr="0085125A">
        <w:rPr>
          <w:spacing w:val="3"/>
        </w:rPr>
        <w:t xml:space="preserve">Kuznets curve, endogenous growth model, Putty-Putty Model and Putty-Clay Model. We employ </w:t>
      </w:r>
      <w:r w:rsidR="00777D00">
        <w:rPr>
          <w:spacing w:val="3"/>
        </w:rPr>
        <w:t>causal estimation techniques</w:t>
      </w:r>
      <w:r w:rsidRPr="0085125A">
        <w:rPr>
          <w:spacing w:val="3"/>
        </w:rPr>
        <w:t xml:space="preserve"> to examine the short and long-run causal relationship between total final energy consumption and the macroeconomic variables. The </w:t>
      </w:r>
      <w:r w:rsidR="00777D00">
        <w:rPr>
          <w:spacing w:val="3"/>
        </w:rPr>
        <w:t>r</w:t>
      </w:r>
      <w:r w:rsidRPr="0085125A">
        <w:rPr>
          <w:spacing w:val="3"/>
        </w:rPr>
        <w:t xml:space="preserve">esults of cointegration tests reveal cointegration between dependent </w:t>
      </w:r>
      <w:r w:rsidR="00777D00">
        <w:rPr>
          <w:spacing w:val="3"/>
        </w:rPr>
        <w:t>variables</w:t>
      </w:r>
      <w:r w:rsidRPr="0085125A">
        <w:rPr>
          <w:spacing w:val="3"/>
        </w:rPr>
        <w:t xml:space="preserve"> and explanatory variables. The results of </w:t>
      </w:r>
      <w:r w:rsidR="00777D00">
        <w:rPr>
          <w:spacing w:val="3"/>
        </w:rPr>
        <w:t>Granger</w:t>
      </w:r>
      <w:r w:rsidRPr="0085125A">
        <w:rPr>
          <w:spacing w:val="3"/>
        </w:rPr>
        <w:t xml:space="preserve"> causality tests and ECM find strong evidence of a unidirectional relationship both </w:t>
      </w:r>
      <w:r w:rsidR="00777D00">
        <w:rPr>
          <w:spacing w:val="3"/>
        </w:rPr>
        <w:t xml:space="preserve">in the </w:t>
      </w:r>
      <w:r w:rsidRPr="0085125A">
        <w:rPr>
          <w:spacing w:val="3"/>
        </w:rPr>
        <w:t>short-run and long-run running from economic growth, population growth, urbanization,</w:t>
      </w:r>
      <w:r w:rsidR="00777D00">
        <w:rPr>
          <w:spacing w:val="3"/>
        </w:rPr>
        <w:t xml:space="preserve"> and trade</w:t>
      </w:r>
      <w:r w:rsidRPr="0085125A">
        <w:rPr>
          <w:spacing w:val="3"/>
        </w:rPr>
        <w:t xml:space="preserve"> openness to total fi</w:t>
      </w:r>
      <w:r w:rsidR="00057AD8">
        <w:rPr>
          <w:spacing w:val="3"/>
        </w:rPr>
        <w:t>nal energy consumption</w:t>
      </w:r>
      <w:r w:rsidRPr="0085125A">
        <w:rPr>
          <w:spacing w:val="3"/>
        </w:rPr>
        <w:t xml:space="preserve">. The findings reiterate </w:t>
      </w:r>
      <w:r w:rsidR="00777D00">
        <w:rPr>
          <w:spacing w:val="3"/>
        </w:rPr>
        <w:t xml:space="preserve">the </w:t>
      </w:r>
      <w:r w:rsidRPr="0085125A">
        <w:rPr>
          <w:spacing w:val="3"/>
        </w:rPr>
        <w:t xml:space="preserve">indispensable role of energy use in stimulating economic growth and development in Rwanda, and the need to implement energy efficiency policies and technologies </w:t>
      </w:r>
      <w:r w:rsidR="001B757C">
        <w:rPr>
          <w:spacing w:val="3"/>
        </w:rPr>
        <w:t xml:space="preserve">that ensure </w:t>
      </w:r>
      <w:r w:rsidRPr="0085125A">
        <w:rPr>
          <w:spacing w:val="3"/>
        </w:rPr>
        <w:t>le</w:t>
      </w:r>
      <w:r w:rsidR="00610FEC">
        <w:rPr>
          <w:spacing w:val="3"/>
        </w:rPr>
        <w:t>ss and clean energy consumption</w:t>
      </w:r>
      <w:r w:rsidR="00AB5573">
        <w:rPr>
          <w:spacing w:val="3"/>
        </w:rPr>
        <w:t xml:space="preserve">. </w:t>
      </w:r>
    </w:p>
    <w:p w14:paraId="6AC539E2" w14:textId="4B742263" w:rsidR="000230CA" w:rsidRPr="0085125A" w:rsidRDefault="000230CA" w:rsidP="002A4FBC">
      <w:pPr>
        <w:spacing w:after="200" w:line="360" w:lineRule="auto"/>
        <w:jc w:val="both"/>
        <w:rPr>
          <w:b/>
        </w:rPr>
      </w:pPr>
    </w:p>
    <w:p w14:paraId="2114852E" w14:textId="77777777" w:rsidR="002A4FBC" w:rsidRPr="0085125A" w:rsidRDefault="002A4FBC" w:rsidP="002A4FBC">
      <w:pPr>
        <w:numPr>
          <w:ilvl w:val="0"/>
          <w:numId w:val="1"/>
        </w:numPr>
        <w:spacing w:after="200" w:line="360" w:lineRule="auto"/>
        <w:contextualSpacing/>
        <w:jc w:val="both"/>
        <w:rPr>
          <w:b/>
        </w:rPr>
      </w:pPr>
      <w:r w:rsidRPr="0085125A">
        <w:rPr>
          <w:b/>
        </w:rPr>
        <w:t>Background</w:t>
      </w:r>
    </w:p>
    <w:p w14:paraId="2B460450" w14:textId="7EDCB21C" w:rsidR="002A4FBC" w:rsidRPr="0085125A" w:rsidRDefault="002A4FBC" w:rsidP="002A4FBC">
      <w:pPr>
        <w:spacing w:after="200" w:line="360" w:lineRule="auto"/>
        <w:jc w:val="both"/>
      </w:pPr>
      <w:r w:rsidRPr="0085125A">
        <w:t>Energy will be one of the world's major challenges in the next century, given the ever-increasing demand for energy consumption in developing countries. The demand for energy consumption is strongly correlated with the national well-being (development) and economic growth, as postulated by Wu and Chen (2017).  Developing countries, in particular, Sub-Saharan Africa (SSA) are experiencing an increasing scramble for a different energy sources for consumption, as a mean</w:t>
      </w:r>
      <w:r w:rsidR="008F35B9">
        <w:t>s</w:t>
      </w:r>
      <w:r w:rsidRPr="0085125A">
        <w:t xml:space="preserve"> to s</w:t>
      </w:r>
      <w:r w:rsidR="008F35B9">
        <w:t>timulating</w:t>
      </w:r>
      <w:r w:rsidRPr="0085125A">
        <w:t xml:space="preserve"> growth and development of their economies. Indeed, OECD/IEA (2018) indicates that energy use in Africa as</w:t>
      </w:r>
      <w:r w:rsidR="008F35B9">
        <w:t xml:space="preserve"> a whole rises by just under 60 percent</w:t>
      </w:r>
      <w:r w:rsidRPr="0085125A">
        <w:t xml:space="preserve">. With increasing population, urbanization, industrialization, and less technological efficiency in energy consumption, Africa is increasingly taking the lead in global energy consumption trends. This is because energy (renewable and natural gas) is accelerating growth and development in some SSA countries, despite deficiency in energy access. The majority of these countries still rely on the traditional use of biomass. As demand for energy is on arise in Africa, there is an increasing hinted </w:t>
      </w:r>
      <w:r w:rsidR="00610FEC" w:rsidRPr="0085125A">
        <w:t>debate</w:t>
      </w:r>
      <w:r w:rsidRPr="0085125A">
        <w:t xml:space="preserve"> among academicians, scholars, and policymakers about the determinants of energy usage in the region. </w:t>
      </w:r>
      <w:r w:rsidR="00610FEC">
        <w:t>However, l</w:t>
      </w:r>
      <w:r w:rsidRPr="0085125A">
        <w:t xml:space="preserve">ittle is known about factors influencing energy consumption. Some have postulated the rise of industrialization, economic growth, urbanization, population growth, to mention but a few. We know less about the causal relationship between macroeconomic variables and the overall energy use or consumption in the region.      </w:t>
      </w:r>
    </w:p>
    <w:p w14:paraId="3820394B" w14:textId="1FBA132F" w:rsidR="002A4FBC" w:rsidRPr="0085125A" w:rsidRDefault="002A4FBC" w:rsidP="002A4FBC">
      <w:pPr>
        <w:spacing w:line="360" w:lineRule="auto"/>
        <w:jc w:val="both"/>
        <w:rPr>
          <w:lang w:val="en-GB"/>
        </w:rPr>
      </w:pPr>
      <w:r w:rsidRPr="0085125A">
        <w:t xml:space="preserve">The existing theoretical framework on macroeconomic determinants of energy consumption disagrees with the way different factors influence energy consumption. Human capital development, Industrialization, Population growth, economic growth, trade openness, and financial development, among others, are some of the macroeconomic determinants, which influence energy usage, however, theoretical and empirical narratives related to the causal relationship between the above macroeconomic variables and energy consumption remain </w:t>
      </w:r>
      <w:r w:rsidR="00610FEC">
        <w:t xml:space="preserve">scarce </w:t>
      </w:r>
      <w:r w:rsidRPr="0085125A">
        <w:t xml:space="preserve">and mixed. </w:t>
      </w:r>
    </w:p>
    <w:p w14:paraId="4742CFFB" w14:textId="6FAA2F89" w:rsidR="002A4FBC" w:rsidRPr="0085125A" w:rsidRDefault="002A4FBC" w:rsidP="002A4FBC">
      <w:pPr>
        <w:spacing w:after="200" w:line="360" w:lineRule="auto"/>
        <w:jc w:val="both"/>
        <w:rPr>
          <w:shd w:val="clear" w:color="auto" w:fill="FFFFFF"/>
        </w:rPr>
      </w:pPr>
      <w:r w:rsidRPr="0085125A">
        <w:rPr>
          <w:shd w:val="clear" w:color="auto" w:fill="FFFFFF"/>
        </w:rPr>
        <w:t xml:space="preserve">Some existing empirical </w:t>
      </w:r>
      <w:r w:rsidR="008F35B9">
        <w:rPr>
          <w:shd w:val="clear" w:color="auto" w:fill="FFFFFF"/>
        </w:rPr>
        <w:t xml:space="preserve">literature </w:t>
      </w:r>
      <w:r w:rsidRPr="0085125A">
        <w:rPr>
          <w:shd w:val="clear" w:color="auto" w:fill="FFFFFF"/>
        </w:rPr>
        <w:t xml:space="preserve">attribute energy consumption to overall economic growth. </w:t>
      </w:r>
      <w:r w:rsidRPr="0085125A">
        <w:t xml:space="preserve">Many empirical studies find a reverse causality between energy usage and economic growth, GDP growth causing energy usage, while energy usage causing GDP growth, a feedback relationship, </w:t>
      </w:r>
      <w:r w:rsidRPr="0085125A">
        <w:lastRenderedPageBreak/>
        <w:t>or no causality</w:t>
      </w:r>
      <w:r w:rsidRPr="0085125A">
        <w:rPr>
          <w:vertAlign w:val="superscript"/>
        </w:rPr>
        <w:footnoteReference w:id="1"/>
      </w:r>
      <w:r w:rsidRPr="0085125A">
        <w:t xml:space="preserve">. </w:t>
      </w:r>
      <w:r w:rsidRPr="0085125A">
        <w:rPr>
          <w:shd w:val="clear" w:color="auto" w:fill="FFFFFF"/>
        </w:rPr>
        <w:t xml:space="preserve">Nindi and Odhiambo (2014) claimed that economic growth leads to increased energy usage in a more energy-dependent economy. This is because strong investment in more energy-intensive manufacturing activity helps to sustain economic expansion. While Huang et al. (2008) claim that </w:t>
      </w:r>
      <w:r w:rsidR="00610FEC" w:rsidRPr="0085125A">
        <w:rPr>
          <w:shd w:val="clear" w:color="auto" w:fill="FFFFFF"/>
        </w:rPr>
        <w:t>energy,</w:t>
      </w:r>
      <w:r w:rsidRPr="0085125A">
        <w:rPr>
          <w:shd w:val="clear" w:color="auto" w:fill="FFFFFF"/>
        </w:rPr>
        <w:t xml:space="preserve"> consumption was negatively impacted by economic growth.</w:t>
      </w:r>
    </w:p>
    <w:p w14:paraId="6931B2F0" w14:textId="77777777" w:rsidR="002A4FBC" w:rsidRPr="0085125A" w:rsidRDefault="002A4FBC" w:rsidP="002A4FBC">
      <w:pPr>
        <w:spacing w:after="200" w:line="360" w:lineRule="auto"/>
        <w:jc w:val="both"/>
        <w:rPr>
          <w:shd w:val="clear" w:color="auto" w:fill="FFFFFF"/>
        </w:rPr>
      </w:pPr>
      <w:r w:rsidRPr="0085125A">
        <w:rPr>
          <w:shd w:val="clear" w:color="auto" w:fill="FFFFFF"/>
        </w:rPr>
        <w:t>In terms of trade, trade openness stimulate business expansion and production, which increases energy use. Accordingly, Rasiah et al. (2018) argue that trade openness makes it easier for businesses to expand because they can now acquire raw materials and supply completed goods from all over the world. As a result, the amount of energy used to initiate production activities increases. While technological advancement improves efficiency in energy consumption in trade and production process. Indeed, Grossman and Krueger (1991), trade openness allows businesses to be more energy saving because they can now simply obtain energy-saving technology from anywhere in the in the world.</w:t>
      </w:r>
    </w:p>
    <w:p w14:paraId="32AA8A76" w14:textId="7862858A" w:rsidR="002A4FBC" w:rsidRPr="0085125A" w:rsidRDefault="002A4FBC" w:rsidP="002A4FBC">
      <w:pPr>
        <w:spacing w:after="200" w:line="360" w:lineRule="auto"/>
        <w:jc w:val="both"/>
      </w:pPr>
      <w:r w:rsidRPr="0085125A">
        <w:t xml:space="preserve">Empirical literature suggests population, economic activity per capita, industrialization, and technology performance as the three most basic drivers of energy demand ( see Tang, 2009; Jumbe, 2004; Narayan and Smyth, 2005; Narayan and Singh, 2007; </w:t>
      </w:r>
      <w:r w:rsidR="00E92C05" w:rsidRPr="0085125A">
        <w:t>Tang,</w:t>
      </w:r>
      <w:r w:rsidRPr="0085125A">
        <w:t xml:space="preserve"> 2008;kalid and kalid, 2010). </w:t>
      </w:r>
      <w:r w:rsidRPr="0085125A">
        <w:rPr>
          <w:bCs/>
        </w:rPr>
        <w:t>However, the pessimistic school of thoughts claim</w:t>
      </w:r>
      <w:r w:rsidRPr="0085125A">
        <w:t xml:space="preserve"> that GDP per capita reduces energy consumption Ergun et al (2019), while expanded urbanization enhances the consumption for energy-intensive products. If used effectively can reduce energy use (York, 2007; Sadorsky, 2014). Th</w:t>
      </w:r>
      <w:r w:rsidR="00610FEC">
        <w:t>e mixed empirical findings seem</w:t>
      </w:r>
      <w:r w:rsidRPr="0085125A">
        <w:t xml:space="preserve"> to </w:t>
      </w:r>
      <w:r w:rsidR="00610FEC">
        <w:t xml:space="preserve">be </w:t>
      </w:r>
      <w:r w:rsidRPr="0085125A">
        <w:t xml:space="preserve">attributed to the various factors such as stage of economic development, estimation methodology, data usage, and sample size, as emphasized by (Khanna &amp; Rao 2009). </w:t>
      </w:r>
    </w:p>
    <w:p w14:paraId="246585D9" w14:textId="09473FC5" w:rsidR="002A4FBC" w:rsidRPr="00610FEC" w:rsidRDefault="002A4FBC" w:rsidP="002A4FBC">
      <w:pPr>
        <w:spacing w:after="200" w:line="360" w:lineRule="auto"/>
        <w:jc w:val="both"/>
        <w:rPr>
          <w:shd w:val="clear" w:color="auto" w:fill="FFFFFF"/>
        </w:rPr>
      </w:pPr>
      <w:r w:rsidRPr="0085125A">
        <w:rPr>
          <w:shd w:val="clear" w:color="auto" w:fill="FFFFFF"/>
        </w:rPr>
        <w:t>In Africa, energy consumption is on arise, accounting for 8</w:t>
      </w:r>
      <w:r w:rsidR="008F35B9">
        <w:rPr>
          <w:shd w:val="clear" w:color="auto" w:fill="FFFFFF"/>
        </w:rPr>
        <w:t xml:space="preserve"> percent </w:t>
      </w:r>
      <w:r w:rsidRPr="0085125A">
        <w:rPr>
          <w:shd w:val="clear" w:color="auto" w:fill="FFFFFF"/>
        </w:rPr>
        <w:t>increase in oil consumption from 2010 -19 compared to 10</w:t>
      </w:r>
      <w:r w:rsidR="008F35B9">
        <w:rPr>
          <w:shd w:val="clear" w:color="auto" w:fill="FFFFFF"/>
        </w:rPr>
        <w:t xml:space="preserve"> percent</w:t>
      </w:r>
      <w:r w:rsidRPr="0085125A">
        <w:rPr>
          <w:shd w:val="clear" w:color="auto" w:fill="FFFFFF"/>
        </w:rPr>
        <w:t xml:space="preserve"> increase in global energy consumption</w:t>
      </w:r>
      <w:r w:rsidRPr="0085125A">
        <w:t xml:space="preserve">. Indeed, similar evidence </w:t>
      </w:r>
      <w:r w:rsidRPr="0085125A">
        <w:rPr>
          <w:shd w:val="clear" w:color="auto" w:fill="FFFFFF"/>
        </w:rPr>
        <w:t>indicates that, f</w:t>
      </w:r>
      <w:r w:rsidRPr="0085125A">
        <w:t xml:space="preserve">inal consumption (i.e. in end‐uses) of modern fuels in Africa rises on average by 5% annually compared with 2% over the previous decade despite </w:t>
      </w:r>
      <w:r w:rsidRPr="0085125A">
        <w:rPr>
          <w:shd w:val="clear" w:color="auto" w:fill="FFFFFF"/>
        </w:rPr>
        <w:t>a significant energy deficit, which is hampering its growth</w:t>
      </w:r>
      <w:r w:rsidR="00610FEC">
        <w:rPr>
          <w:shd w:val="clear" w:color="auto" w:fill="FFFFFF"/>
        </w:rPr>
        <w:t xml:space="preserve"> and development. T</w:t>
      </w:r>
      <w:r w:rsidRPr="0085125A">
        <w:rPr>
          <w:shd w:val="clear" w:color="auto" w:fill="FFFFFF"/>
        </w:rPr>
        <w:t>he Africa energy outlook (</w:t>
      </w:r>
      <w:r w:rsidRPr="0085125A">
        <w:t xml:space="preserve">2019) </w:t>
      </w:r>
      <w:r w:rsidR="00610FEC">
        <w:t xml:space="preserve">finds </w:t>
      </w:r>
      <w:r w:rsidRPr="0085125A">
        <w:t xml:space="preserve">that,  </w:t>
      </w:r>
      <w:r w:rsidRPr="0085125A">
        <w:rPr>
          <w:shd w:val="clear" w:color="auto" w:fill="FFFFFF"/>
        </w:rPr>
        <w:t> most Africans do not have access to electricity, and about 80</w:t>
      </w:r>
      <w:r w:rsidR="008F35B9">
        <w:rPr>
          <w:shd w:val="clear" w:color="auto" w:fill="FFFFFF"/>
        </w:rPr>
        <w:t xml:space="preserve"> percent</w:t>
      </w:r>
      <w:r w:rsidRPr="0085125A">
        <w:rPr>
          <w:shd w:val="clear" w:color="auto" w:fill="FFFFFF"/>
        </w:rPr>
        <w:t xml:space="preserve"> of sub-Saharan African businesses experienced regular power outages, resulting in financial losses. The figure below </w:t>
      </w:r>
      <w:r w:rsidRPr="0085125A">
        <w:rPr>
          <w:shd w:val="clear" w:color="auto" w:fill="FFFFFF"/>
        </w:rPr>
        <w:lastRenderedPageBreak/>
        <w:t xml:space="preserve">depicts trends in energy consumption in against different energy sources in Africa with biomass taking the lion share of energy source on the continent. </w:t>
      </w:r>
    </w:p>
    <w:p w14:paraId="65CCA481" w14:textId="77777777" w:rsidR="002A4FBC" w:rsidRPr="0085125A" w:rsidRDefault="002A4FBC" w:rsidP="002A4FBC">
      <w:pPr>
        <w:spacing w:after="200" w:line="360" w:lineRule="auto"/>
        <w:jc w:val="both"/>
        <w:rPr>
          <w:b/>
          <w:bCs/>
          <w:i/>
          <w:iCs/>
        </w:rPr>
      </w:pPr>
      <w:r w:rsidRPr="0085125A">
        <w:rPr>
          <w:noProof/>
        </w:rPr>
        <w:drawing>
          <wp:inline distT="0" distB="0" distL="0" distR="0" wp14:anchorId="5969747C" wp14:editId="3DA68E64">
            <wp:extent cx="5943600" cy="322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6740" cy="3232510"/>
                    </a:xfrm>
                    <a:prstGeom prst="rect">
                      <a:avLst/>
                    </a:prstGeom>
                  </pic:spPr>
                </pic:pic>
              </a:graphicData>
            </a:graphic>
          </wp:inline>
        </w:drawing>
      </w:r>
    </w:p>
    <w:p w14:paraId="76CFDE6C" w14:textId="77777777" w:rsidR="002A4FBC" w:rsidRPr="0085125A" w:rsidRDefault="002A4FBC" w:rsidP="002A4FBC">
      <w:pPr>
        <w:spacing w:after="200" w:line="360" w:lineRule="auto"/>
        <w:jc w:val="both"/>
        <w:rPr>
          <w:i/>
          <w:iCs/>
        </w:rPr>
      </w:pPr>
      <w:r w:rsidRPr="0085125A">
        <w:rPr>
          <w:b/>
          <w:bCs/>
          <w:i/>
          <w:iCs/>
        </w:rPr>
        <w:t>Figure 1.0.</w:t>
      </w:r>
      <w:r w:rsidRPr="0085125A">
        <w:rPr>
          <w:i/>
          <w:iCs/>
        </w:rPr>
        <w:t>-Total Energy Supply (TES) by source, Africa 1990-2019</w:t>
      </w:r>
    </w:p>
    <w:p w14:paraId="1F94D537" w14:textId="77777777" w:rsidR="002A4FBC" w:rsidRPr="0085125A" w:rsidRDefault="002A4FBC" w:rsidP="002A4FBC">
      <w:pPr>
        <w:spacing w:after="200" w:line="360" w:lineRule="auto"/>
        <w:jc w:val="both"/>
        <w:rPr>
          <w:i/>
          <w:iCs/>
          <w:u w:val="single"/>
        </w:rPr>
      </w:pPr>
      <w:r w:rsidRPr="0085125A">
        <w:rPr>
          <w:i/>
          <w:iCs/>
        </w:rPr>
        <w:t>Resource:</w:t>
      </w:r>
      <w:r w:rsidRPr="0085125A">
        <w:t xml:space="preserve"> </w:t>
      </w:r>
      <w:hyperlink r:id="rId10" w:history="1">
        <w:r w:rsidRPr="0085125A">
          <w:rPr>
            <w:i/>
            <w:iCs/>
            <w:u w:val="single"/>
          </w:rPr>
          <w:t>https://www.iea.org/regions/africa,2022</w:t>
        </w:r>
      </w:hyperlink>
    </w:p>
    <w:p w14:paraId="2BC45BC0" w14:textId="6C7FF09E" w:rsidR="002A4FBC" w:rsidRPr="0085125A" w:rsidRDefault="002A4FBC" w:rsidP="002A4FBC">
      <w:pPr>
        <w:spacing w:after="200" w:line="360" w:lineRule="auto"/>
        <w:jc w:val="both"/>
      </w:pPr>
      <w:r w:rsidRPr="0085125A">
        <w:t xml:space="preserve">The Government of Rwanda is currently engrossed in intensively developing its economic sectors, such as infrastructure, industry, to mention but a few with a focus on energy as a fundamental driver of economic growth (see National Strategy </w:t>
      </w:r>
      <w:r w:rsidR="00E92C05" w:rsidRPr="0085125A">
        <w:t>for Transformation, 2020</w:t>
      </w:r>
      <w:r w:rsidRPr="0085125A">
        <w:t>;</w:t>
      </w:r>
      <w:r w:rsidR="008F35B9">
        <w:t xml:space="preserve"> Minecofin, 2007). Despite surging</w:t>
      </w:r>
      <w:r w:rsidRPr="0085125A">
        <w:t xml:space="preserve"> investment</w:t>
      </w:r>
      <w:r w:rsidR="008F35B9">
        <w:t>s</w:t>
      </w:r>
      <w:r w:rsidRPr="0085125A">
        <w:t xml:space="preserve"> in energy generation and distribution, little is known about factors influencing energy consumption in Rwanda. This is further compounded by the scarcity of energy data. </w:t>
      </w:r>
    </w:p>
    <w:p w14:paraId="27009424" w14:textId="26429DBD" w:rsidR="002A4FBC" w:rsidRDefault="002A4FBC" w:rsidP="002A4FBC">
      <w:pPr>
        <w:spacing w:after="200" w:line="360" w:lineRule="auto"/>
        <w:jc w:val="both"/>
        <w:rPr>
          <w:shd w:val="clear" w:color="auto" w:fill="FFFFFF"/>
          <w:lang w:val="en-GB"/>
        </w:rPr>
      </w:pPr>
      <w:r w:rsidRPr="0085125A">
        <w:t xml:space="preserve">The rest of this paper is </w:t>
      </w:r>
      <w:r w:rsidR="008F35B9">
        <w:t>structured</w:t>
      </w:r>
      <w:r w:rsidRPr="0085125A">
        <w:t xml:space="preserve"> into</w:t>
      </w:r>
      <w:r w:rsidR="00E92C05" w:rsidRPr="0085125A">
        <w:t xml:space="preserve"> the </w:t>
      </w:r>
      <w:r w:rsidRPr="0085125A">
        <w:rPr>
          <w:shd w:val="clear" w:color="auto" w:fill="FFFFFF"/>
          <w:lang w:val="en-GB"/>
        </w:rPr>
        <w:t>Theoretical Framework, empirical discussion, discussion on energy consumption in Rwanda, empirical strategy, results and discussion, conclu</w:t>
      </w:r>
      <w:r w:rsidR="00610FEC">
        <w:rPr>
          <w:shd w:val="clear" w:color="auto" w:fill="FFFFFF"/>
          <w:lang w:val="en-GB"/>
        </w:rPr>
        <w:t>sion and policy implications.</w:t>
      </w:r>
    </w:p>
    <w:p w14:paraId="2049579A" w14:textId="65A99D23" w:rsidR="00610FEC" w:rsidRDefault="00610FEC" w:rsidP="002A4FBC">
      <w:pPr>
        <w:spacing w:after="200" w:line="360" w:lineRule="auto"/>
        <w:jc w:val="both"/>
        <w:rPr>
          <w:shd w:val="clear" w:color="auto" w:fill="FFFFFF"/>
          <w:lang w:val="en-GB"/>
        </w:rPr>
      </w:pPr>
    </w:p>
    <w:p w14:paraId="36FE4260" w14:textId="77777777" w:rsidR="00610FEC" w:rsidRPr="0085125A" w:rsidRDefault="00610FEC" w:rsidP="002A4FBC">
      <w:pPr>
        <w:spacing w:after="200" w:line="360" w:lineRule="auto"/>
        <w:jc w:val="both"/>
        <w:rPr>
          <w:shd w:val="clear" w:color="auto" w:fill="FFFFFF"/>
          <w:lang w:val="en-GB"/>
        </w:rPr>
      </w:pPr>
    </w:p>
    <w:p w14:paraId="5C3FF62E" w14:textId="77777777" w:rsidR="002A4FBC" w:rsidRPr="0085125A" w:rsidRDefault="002A4FBC" w:rsidP="002A4FBC">
      <w:pPr>
        <w:spacing w:after="200" w:line="360" w:lineRule="auto"/>
        <w:jc w:val="both"/>
        <w:rPr>
          <w:b/>
          <w:shd w:val="clear" w:color="auto" w:fill="FFFFFF"/>
          <w:lang w:val="en-GB"/>
        </w:rPr>
      </w:pPr>
      <w:r w:rsidRPr="0085125A">
        <w:rPr>
          <w:b/>
          <w:shd w:val="clear" w:color="auto" w:fill="FFFFFF"/>
          <w:lang w:val="en-GB"/>
        </w:rPr>
        <w:lastRenderedPageBreak/>
        <w:t xml:space="preserve">2.1. Theoretical Framework </w:t>
      </w:r>
    </w:p>
    <w:p w14:paraId="1CD41908" w14:textId="75E3D0A1" w:rsidR="002A4FBC" w:rsidRPr="0085125A" w:rsidRDefault="002A4FBC" w:rsidP="002A4FBC">
      <w:pPr>
        <w:spacing w:after="200" w:line="360" w:lineRule="auto"/>
        <w:jc w:val="both"/>
      </w:pPr>
      <w:r w:rsidRPr="0085125A">
        <w:t>Scholars and policymakers disagree about the link between energy usage and its macroeconomic determinants. The narrative</w:t>
      </w:r>
      <w:r w:rsidR="00205143">
        <w:t xml:space="preserve">s related to the </w:t>
      </w:r>
      <w:r w:rsidRPr="0085125A">
        <w:t xml:space="preserve">energy consumption and </w:t>
      </w:r>
      <w:r w:rsidR="00852B59" w:rsidRPr="0085125A">
        <w:t>the energy-growth nexus influence its macroeconomic determinants</w:t>
      </w:r>
      <w:r w:rsidRPr="0085125A">
        <w:t>. (Georgescu- Roegen, 1971) emphasized the relevance of energy in the economic system, arguing that the physical character of economic production required more explicit emphasis in growth theory. The mainstream economists (Stern, 1999; Baptist &amp;</w:t>
      </w:r>
      <w:r w:rsidRPr="0085125A">
        <w:rPr>
          <w:rFonts w:eastAsiaTheme="majorEastAsia"/>
        </w:rPr>
        <w:t xml:space="preserve"> </w:t>
      </w:r>
      <w:r w:rsidRPr="0085125A">
        <w:t>Hepburn, 2013; Hulten, 1978) have adopted the concept of primary and intermediat</w:t>
      </w:r>
      <w:r w:rsidR="004E1620">
        <w:t>e inputs of production so that e</w:t>
      </w:r>
      <w:r w:rsidRPr="0085125A">
        <w:t xml:space="preserve">nergy is frequently utilized as an intermediate input because of their indirect importance, the cost of goods and services, the quality of produced items, the growth of the nation, and the availability of jobs are all directly affected by the utilization of energy in the industrial production process. The industry energy consumption is a derived consumption that began during the manufacturing process, according to Berndt and Wood (1975). This means that, like other factors of production, industrial output levels, relative prices, and technical flexibility influence energy consumption from a certain sector. As a result, </w:t>
      </w:r>
      <w:r w:rsidR="004E1620">
        <w:t>several</w:t>
      </w:r>
      <w:r w:rsidRPr="0085125A">
        <w:t xml:space="preserve"> analysts have tried to figure out how to combine energy with another factor of production (for instance, Pindych and Rotemberg, 1983; Solow, 1987; Berndt and Wood, 1979; Griffin and Gregory, 1976; Morrison and Berndt, 1981).</w:t>
      </w:r>
    </w:p>
    <w:p w14:paraId="0FD104FA" w14:textId="361CD434" w:rsidR="002A4FBC" w:rsidRPr="0085125A" w:rsidRDefault="002A4FBC" w:rsidP="002A4FBC">
      <w:pPr>
        <w:spacing w:after="200" w:line="360" w:lineRule="auto"/>
        <w:jc w:val="both"/>
      </w:pPr>
      <w:r w:rsidRPr="0085125A">
        <w:t xml:space="preserve">The complementarity of capital and energy use in the production process is emphasized by both </w:t>
      </w:r>
      <w:r w:rsidRPr="0085125A">
        <w:rPr>
          <w:bCs/>
        </w:rPr>
        <w:t>Putty-Putty Model and Putty-Clay Model created by (</w:t>
      </w:r>
      <w:r w:rsidRPr="0085125A">
        <w:t>Robert S. Pindyck and Julio J. Rotemberg,1983). The main characteristics of putty model are that energy is very complementary to capital, and capital has adjustment costs. The stock of capital responds to changes in energy prices slowly over time because of the adjustment. Energy travels slowly because it is extremely complementary to cap</w:t>
      </w:r>
      <w:r w:rsidR="00205143">
        <w:t>ital in production. In the long-</w:t>
      </w:r>
      <w:r w:rsidRPr="0085125A">
        <w:t xml:space="preserve">run, both the capital stock and energy use adjust to unavoidable price fluctuations in energy. While The Putty-Clay Model proposes that, a great number of capital goods are coupled with energy in various fixed magnitudes. </w:t>
      </w:r>
    </w:p>
    <w:p w14:paraId="60B89FB8" w14:textId="422740B9" w:rsidR="002A4FBC" w:rsidRPr="0085125A" w:rsidRDefault="002A4FBC" w:rsidP="002A4FBC">
      <w:pPr>
        <w:spacing w:after="200" w:line="360" w:lineRule="auto"/>
        <w:jc w:val="both"/>
      </w:pPr>
      <w:r w:rsidRPr="0085125A">
        <w:t>Furthermore, Ayres and v</w:t>
      </w:r>
      <w:r w:rsidR="004E1620">
        <w:t xml:space="preserve">an den Bergh (2005) suggest </w:t>
      </w:r>
      <w:r w:rsidRPr="0085125A">
        <w:t xml:space="preserve">a more differentiated approach to growth drivers. They proposed an economic growth framework based on energy sources and dematerialization with three growth drivers: resource use (fossil fuel), scale cumulative learning growth mechanism and value creation (dematerialization). The authors came to a conclusion that resources input expands approximately linearly with income at sufficiently high growth rates. </w:t>
      </w:r>
      <w:r w:rsidRPr="0085125A">
        <w:lastRenderedPageBreak/>
        <w:t xml:space="preserve">However, theoretical findings provide inadequate information on future growth trend in connection to resource usage, notably energy use efficiency and dematerialization. Apart from a probable decline in energy consumption through time, simulders and de nooij (2003) believe that the energy consumption is increasing at positive proportion. While energy use and economic growth are influenced by the availability of investment capital whereas energy use is affected by the level of technology as well (Dahl, 2008:56). </w:t>
      </w:r>
    </w:p>
    <w:p w14:paraId="25D438D3" w14:textId="2B1523F9" w:rsidR="002A4FBC" w:rsidRPr="0085125A" w:rsidRDefault="002A4FBC" w:rsidP="002A4FBC">
      <w:pPr>
        <w:keepNext/>
        <w:keepLines/>
        <w:spacing w:before="40" w:line="360" w:lineRule="auto"/>
        <w:jc w:val="both"/>
        <w:outlineLvl w:val="1"/>
        <w:rPr>
          <w:rFonts w:eastAsiaTheme="majorEastAsia"/>
          <w:b/>
        </w:rPr>
      </w:pPr>
      <w:bookmarkStart w:id="1" w:name="_Toc87879535"/>
      <w:bookmarkStart w:id="2" w:name="_Toc87879708"/>
      <w:r w:rsidRPr="0085125A">
        <w:rPr>
          <w:rFonts w:eastAsiaTheme="majorEastAsia"/>
          <w:b/>
        </w:rPr>
        <w:t xml:space="preserve">2.2. Empirical </w:t>
      </w:r>
      <w:r w:rsidR="004E1620">
        <w:rPr>
          <w:rFonts w:eastAsiaTheme="majorEastAsia"/>
          <w:b/>
        </w:rPr>
        <w:t>Literature</w:t>
      </w:r>
      <w:bookmarkEnd w:id="1"/>
      <w:bookmarkEnd w:id="2"/>
    </w:p>
    <w:p w14:paraId="5994CE78" w14:textId="1C6709F6" w:rsidR="002A4FBC" w:rsidRPr="0085125A" w:rsidRDefault="002A4FBC" w:rsidP="002A4FBC">
      <w:pPr>
        <w:spacing w:after="200" w:line="360" w:lineRule="auto"/>
        <w:jc w:val="both"/>
      </w:pPr>
      <w:r w:rsidRPr="0085125A">
        <w:t>This section discusses empirical narratives about determinants of energy usage at the macro level. Energy is so essential to the growth and development process, and macroeconomic determinants of energy usage correlate with the level of development of the economies. However, empirical studies remain inconclusive</w:t>
      </w:r>
      <w:r w:rsidR="00205143">
        <w:t xml:space="preserve">, </w:t>
      </w:r>
      <w:r w:rsidRPr="0085125A">
        <w:t xml:space="preserve">attributed to the methodological approaches employed, and inability of tools and methods to determine the causal relationship between macroeconomic factors and energy usage. Specifically, energy use is influenced by certain macro </w:t>
      </w:r>
      <w:r w:rsidR="00205143" w:rsidRPr="0085125A">
        <w:t>variables</w:t>
      </w:r>
      <w:r w:rsidRPr="0085125A">
        <w:t xml:space="preserve"> and to some vice versa. The link between energy consumption and economic variables has been studied since the  oil crises of 1970s , especially economic growth, has been studied, but the empirical evidence is equivocal as to whether energy consumption induces economic growth or vice versa (Ozturk,2010). </w:t>
      </w:r>
    </w:p>
    <w:p w14:paraId="3CC1A6F0" w14:textId="2AFF28B0" w:rsidR="002A4FBC" w:rsidRPr="0085125A" w:rsidRDefault="002A4FBC" w:rsidP="002A4FBC">
      <w:pPr>
        <w:spacing w:after="200" w:line="360" w:lineRule="auto"/>
        <w:jc w:val="both"/>
      </w:pPr>
      <w:r w:rsidRPr="0085125A">
        <w:t>For instance, Selim et al (2019) investigated the determinants that impact renewable energy use in Africa for a panel of 21 African countries from 1990 to 2013, using Fixed-effects (FE) and random effects (RE) techniques and found that nations with a larger Human Development Index and income per capita have a smaller extent of renewable energy in their grid. While, increased renewable energy integration has been linked to a rise in foreign direct investment. As a result, foreign direct investment is a factor that influences renewable energy usage, and foreign direct investment (FDI) determine the advancement of renewable energy sources in the African continent. However, Selim et al (2019) found that except for Rwanda, where the relationship is positive, though small, all nations have a negative association between GDP per capita and renewable energy consumption. This can be looked at from two perspectives: first, one of the primary goal of most emerging and underdeveloped nations is to achieve economic development. As energy promotes growth in the economy and fossil fuels are a less expensive choice, their usage will rise to encourage income growth. Second, income growth (</w:t>
      </w:r>
      <w:smartTag w:uri="urn:schemas-microsoft-com:office:smarttags" w:element="stockticker">
        <w:r w:rsidRPr="0085125A">
          <w:t>GDP</w:t>
        </w:r>
      </w:smartTag>
      <w:r w:rsidRPr="0085125A">
        <w:t xml:space="preserve">) can encourage people to </w:t>
      </w:r>
      <w:r w:rsidRPr="0085125A">
        <w:lastRenderedPageBreak/>
        <w:t xml:space="preserve">look for more efficient ways of doing things other energy sources and reduce the reliance of established sources of renewable energy. Because of this the capital-intensive nature of the change, the use of renewable energy as a proportion of total energy usage is decreasing. Implying that, there is possible causal link between renewable energy usage and economic growth in Rwanda, but the underlying empirical question, is the direction of causality. </w:t>
      </w:r>
    </w:p>
    <w:p w14:paraId="6C2E1AC1" w14:textId="77777777" w:rsidR="002A4FBC" w:rsidRPr="0085125A" w:rsidRDefault="002A4FBC" w:rsidP="002A4FBC">
      <w:pPr>
        <w:spacing w:after="200" w:line="360" w:lineRule="auto"/>
        <w:jc w:val="both"/>
      </w:pPr>
      <w:r w:rsidRPr="0085125A">
        <w:t xml:space="preserve"> The results of Selim et al. (2019) contrast those of (Sadorsky, 2009a) in the G7 nations and ( Salim and Rafiq,2012) in emerging nations, who found that per capita income is a determinant of green energy use. On other hand ( Attiaoui et al.,2017) used the autoregressive distribution lags-pooled mean community to examine the impact of per capita CO</w:t>
      </w:r>
      <w:r w:rsidRPr="0085125A">
        <w:rPr>
          <w:vertAlign w:val="subscript"/>
        </w:rPr>
        <w:t>2</w:t>
      </w:r>
      <w:r w:rsidRPr="0085125A">
        <w:t xml:space="preserve"> emissions, GDP per capita, and per capita non-renewable energy use on renewable energy usage which is calculated using the burnable renewable ratio of total energy in 22 African nations and found that GDP per capita has little effect on renewable energy consumption.  </w:t>
      </w:r>
    </w:p>
    <w:p w14:paraId="3FC54896" w14:textId="483BC30A" w:rsidR="002A4FBC" w:rsidRPr="0085125A" w:rsidRDefault="002A4FBC" w:rsidP="002A4FBC">
      <w:pPr>
        <w:spacing w:after="200" w:line="360" w:lineRule="auto"/>
        <w:jc w:val="both"/>
      </w:pPr>
      <w:r w:rsidRPr="0085125A">
        <w:t xml:space="preserve">Poumanyvong and Kaneko (2010) evaluate the effect of urbanization, industrialization, income and population on </w:t>
      </w:r>
      <w:r w:rsidR="00225596">
        <w:t>energy consumption in a sample</w:t>
      </w:r>
      <w:r w:rsidRPr="0085125A">
        <w:t xml:space="preserve"> of 99 nations from 1975 to 2005 using panel data methodologies. They found that the influence of urbanization on energy consumption varied by level of income, and that urbanization reduces energy usage in a group of small income. While it raises energy consumption in the high and middle-income categories, and urbanization reduces energy usages in the lower and intermediate socioeconomic groups. The influence of the portion of industrial output on energy usage in the economy is favorable, but only for middle and low-income classes, it is statistically significant.</w:t>
      </w:r>
    </w:p>
    <w:p w14:paraId="0E7E80AE" w14:textId="3E693D87" w:rsidR="002A4FBC" w:rsidRPr="0085125A" w:rsidRDefault="002A4FBC" w:rsidP="002A4FBC">
      <w:pPr>
        <w:spacing w:after="200" w:line="360" w:lineRule="auto"/>
        <w:jc w:val="both"/>
      </w:pPr>
      <w:r w:rsidRPr="0085125A">
        <w:rPr>
          <w:rFonts w:ascii="TimesNewRomanPSMT" w:hAnsi="TimesNewRomanPSMT" w:cs="TimesNewRomanPSMT"/>
        </w:rPr>
        <w:t>Admittedly</w:t>
      </w:r>
      <w:r w:rsidRPr="0085125A">
        <w:t xml:space="preserve">, similar empirical studies (Filippini &amp; Pachauri, 2004) favor the influence of macroeconomic factors on energy use. Accordingly, similar evidence claim that a growing trend in the industry, population expansion, income growth, modernization, and urbanization has increased electricity consumption in the past and will continue to do so in the future. Indeed, Sadorsky (2014) finds that </w:t>
      </w:r>
      <w:r w:rsidRPr="0085125A">
        <w:rPr>
          <w:bCs/>
        </w:rPr>
        <w:t xml:space="preserve">income under the process of rapid Industrialization and Urbanization boosts energy usage both in short-run and long run. </w:t>
      </w:r>
      <w:r w:rsidRPr="0085125A">
        <w:t xml:space="preserve"> Similarly, in terms of FDI, the nature of effects depends on the development stage. Accordingly, empirical evidence suggests a positive effect of FDI on energy usage is prevalent in developing nations, while the effect of FDI on energy usage turns to be negative in developed/industrialized economies where there is clean and new </w:t>
      </w:r>
      <w:r w:rsidRPr="0085125A">
        <w:lastRenderedPageBreak/>
        <w:t xml:space="preserve">technologies that ensures energy efficiency ( see </w:t>
      </w:r>
      <w:r w:rsidR="00B86F6B" w:rsidRPr="0085125A">
        <w:t>Polat,</w:t>
      </w:r>
      <w:r w:rsidRPr="0085125A">
        <w:t xml:space="preserve">2018; Mielnik &amp; Goldemberg, 2002; Bekhet &amp; Othman, 2014). </w:t>
      </w:r>
    </w:p>
    <w:p w14:paraId="261B530D" w14:textId="1799BCC8" w:rsidR="002A4FBC" w:rsidRPr="0085125A" w:rsidRDefault="002A4FBC" w:rsidP="002A4FBC">
      <w:pPr>
        <w:spacing w:after="200" w:line="360" w:lineRule="auto"/>
        <w:jc w:val="both"/>
      </w:pPr>
      <w:r w:rsidRPr="0085125A">
        <w:t>In brief, urbanization can have both favorable and unfavorable effects on energy usage depending on the context and the income levels of the economies, FDI, industrialization, export</w:t>
      </w:r>
      <w:r w:rsidR="00205143">
        <w:t>s,</w:t>
      </w:r>
      <w:r w:rsidRPr="0085125A">
        <w:t xml:space="preserve"> population growth, and early stage o</w:t>
      </w:r>
      <w:r w:rsidR="00205143">
        <w:t>f GDP growth largely influence</w:t>
      </w:r>
      <w:r w:rsidRPr="0085125A">
        <w:t xml:space="preserve"> energy consumption during the early stage of development, and the effect turns out to be negative in developed economies. While the causal relations turn negative in advanced economies with new and efficient technologies and increased per capita income, which reinforces Kuznets curve theoretical framework. However, the direction of causality in terms of determinants of energy usage is mixed for developing countries, attributed methodological approach and the stage of economic development.   </w:t>
      </w:r>
      <w:bookmarkStart w:id="3" w:name="_Toc87879538"/>
      <w:bookmarkStart w:id="4" w:name="_Toc87879711"/>
    </w:p>
    <w:p w14:paraId="014DEA46" w14:textId="77777777" w:rsidR="002A4FBC" w:rsidRPr="0085125A" w:rsidRDefault="002A4FBC" w:rsidP="002A4FBC">
      <w:pPr>
        <w:spacing w:after="200" w:line="360" w:lineRule="auto"/>
        <w:jc w:val="both"/>
        <w:rPr>
          <w:b/>
        </w:rPr>
      </w:pPr>
      <w:r w:rsidRPr="0085125A">
        <w:rPr>
          <w:b/>
        </w:rPr>
        <w:t>2.3. Contribution to the Scholarship</w:t>
      </w:r>
    </w:p>
    <w:p w14:paraId="25213D06" w14:textId="35AD4F66" w:rsidR="002A4FBC" w:rsidRPr="0085125A" w:rsidRDefault="002A4FBC" w:rsidP="002A4FBC">
      <w:pPr>
        <w:spacing w:after="200" w:line="360" w:lineRule="auto"/>
        <w:jc w:val="both"/>
      </w:pPr>
      <w:r w:rsidRPr="0085125A">
        <w:t xml:space="preserve">There is </w:t>
      </w:r>
      <w:r w:rsidR="00777D00">
        <w:t xml:space="preserve">a </w:t>
      </w:r>
      <w:r w:rsidRPr="0085125A">
        <w:t xml:space="preserve">growing tendency to misunderstand </w:t>
      </w:r>
      <w:r w:rsidR="00777D00">
        <w:t xml:space="preserve">the </w:t>
      </w:r>
      <w:r w:rsidRPr="0085125A">
        <w:t xml:space="preserve">determinants of energy use in developing countries such as SSA countries among empirical scholars and policy practitioners. The point of departure is </w:t>
      </w:r>
      <w:r w:rsidR="00777D00">
        <w:t xml:space="preserve">about the </w:t>
      </w:r>
      <w:r w:rsidRPr="0085125A">
        <w:t xml:space="preserve">factors driving energy consumption at </w:t>
      </w:r>
      <w:r w:rsidR="00777D00">
        <w:t xml:space="preserve">the </w:t>
      </w:r>
      <w:r w:rsidRPr="0085125A">
        <w:t>macro level, and how to quantify the effects of the same factors on total energy consumption</w:t>
      </w:r>
      <w:r w:rsidR="00777D00">
        <w:t>.</w:t>
      </w:r>
      <w:r w:rsidRPr="0085125A">
        <w:t xml:space="preserve"> This question has remained contested among empirical studies and </w:t>
      </w:r>
      <w:r w:rsidR="00777D00">
        <w:t>remains</w:t>
      </w:r>
      <w:r w:rsidRPr="0085125A">
        <w:t xml:space="preserve"> inconsistent, with some claiming elastic and others claiming inelastic effects for certain factors. The </w:t>
      </w:r>
      <w:r w:rsidR="00AB5573">
        <w:t xml:space="preserve">underlying empirical gap </w:t>
      </w:r>
      <w:r w:rsidRPr="0085125A">
        <w:t xml:space="preserve">revolves around the causality and direction of causality among identified </w:t>
      </w:r>
      <w:r w:rsidR="00AB5573">
        <w:t xml:space="preserve">macroeconomic </w:t>
      </w:r>
      <w:r w:rsidRPr="0085125A">
        <w:t xml:space="preserve">factors and energy total energy consumption. In terms of causation, empirical findings classify these factors or variables into three categories: unidirectional causality, second bidirectional causality, and finally, no causality (Akinlo, 2009). This inconclusiveness seems to </w:t>
      </w:r>
      <w:r w:rsidR="00AB5573">
        <w:t xml:space="preserve">stem from </w:t>
      </w:r>
      <w:r w:rsidRPr="0085125A">
        <w:t xml:space="preserve">the scope and the context of the study. </w:t>
      </w:r>
    </w:p>
    <w:p w14:paraId="072ECE80" w14:textId="412DBD86" w:rsidR="002A4FBC" w:rsidRPr="0085125A" w:rsidRDefault="002A4FBC" w:rsidP="002A4FBC">
      <w:pPr>
        <w:spacing w:after="200" w:line="360" w:lineRule="auto"/>
        <w:jc w:val="both"/>
      </w:pPr>
      <w:r w:rsidRPr="0085125A">
        <w:t xml:space="preserve"> Several studies indicate that </w:t>
      </w:r>
      <w:smartTag w:uri="urn:schemas-microsoft-com:office:smarttags" w:element="stockticker">
        <w:r w:rsidRPr="0085125A">
          <w:t>GDP</w:t>
        </w:r>
      </w:smartTag>
      <w:r w:rsidRPr="0085125A">
        <w:t xml:space="preserve"> per capita, population expansion, urbanization, industrialization, trade openness, and FDI determine energy demand, however, the empirical findings are mixed. </w:t>
      </w:r>
      <w:r w:rsidR="00777D00">
        <w:t>Technological</w:t>
      </w:r>
      <w:r w:rsidRPr="0085125A">
        <w:t xml:space="preserve"> progress, the level and quality of growth and development are among the contributing factors. In Rwanda, sparse is known about how the above factors contribute to the energy demand. For instance, </w:t>
      </w:r>
      <w:r w:rsidR="001A3189">
        <w:t xml:space="preserve">since the </w:t>
      </w:r>
      <w:r w:rsidRPr="0085125A">
        <w:t>last two decades</w:t>
      </w:r>
      <w:r w:rsidR="001A3189">
        <w:t xml:space="preserve"> we see</w:t>
      </w:r>
      <w:r w:rsidRPr="0085125A">
        <w:t xml:space="preserve"> an exponential shift in energy demand and economic growth in Rwanda.  Despite the fact that Rwanda's energy situatio</w:t>
      </w:r>
      <w:r w:rsidR="00777D00">
        <w:t xml:space="preserve">n has improved, </w:t>
      </w:r>
      <w:r w:rsidRPr="0085125A">
        <w:t xml:space="preserve">little attention has been made </w:t>
      </w:r>
      <w:r w:rsidR="00777D00">
        <w:t>to examining</w:t>
      </w:r>
      <w:r w:rsidRPr="0085125A">
        <w:t xml:space="preserve"> the determinants of the country's energy usage. Onl</w:t>
      </w:r>
      <w:r w:rsidR="00777D00">
        <w:t xml:space="preserve">y a least minimum of </w:t>
      </w:r>
      <w:r w:rsidRPr="0085125A">
        <w:t xml:space="preserve">researchers, particularly in Africa, have looked </w:t>
      </w:r>
      <w:r w:rsidRPr="0085125A">
        <w:lastRenderedPageBreak/>
        <w:t xml:space="preserve">at the time-varying </w:t>
      </w:r>
      <w:r w:rsidR="001A3189">
        <w:t>behaviour</w:t>
      </w:r>
      <w:r w:rsidR="00777D00">
        <w:t xml:space="preserve"> </w:t>
      </w:r>
      <w:r w:rsidRPr="0085125A">
        <w:t xml:space="preserve">of energy determinants. More so, less attention is paid to the contextual realities of countries. We know from the fact that African countries are at different levels of development </w:t>
      </w:r>
      <w:r w:rsidR="00205143">
        <w:t>with heterogeneity of local</w:t>
      </w:r>
      <w:r w:rsidRPr="0085125A">
        <w:t xml:space="preserve"> policy frameworks. Therefore, the heterogeneity o</w:t>
      </w:r>
      <w:r w:rsidR="00777D00">
        <w:t>f economic structures influences</w:t>
      </w:r>
      <w:r w:rsidRPr="0085125A">
        <w:t xml:space="preserve"> energy consumption. Indeed, Sari, </w:t>
      </w:r>
      <w:r w:rsidRPr="0085125A">
        <w:rPr>
          <w:iCs/>
        </w:rPr>
        <w:t>et al</w:t>
      </w:r>
      <w:r w:rsidRPr="0085125A">
        <w:t xml:space="preserve"> (2008) insert that, the disparity in empirical results could be attributable to the diverse economic structures of the nations under study. Thus, empirical analysis needs to cater for contextual heterogeneity within and across countries. This study seeks to bridge the gap by employing two methodological frameworks to examine the link between energy usage and macroeconomic variables.</w:t>
      </w:r>
    </w:p>
    <w:p w14:paraId="29B4AFC6" w14:textId="2D0E89D6" w:rsidR="002A4FBC" w:rsidRPr="0085125A" w:rsidRDefault="00777D00" w:rsidP="002A4FBC">
      <w:pPr>
        <w:spacing w:after="200" w:line="360" w:lineRule="auto"/>
        <w:jc w:val="both"/>
      </w:pPr>
      <w:r>
        <w:t>We</w:t>
      </w:r>
      <w:r w:rsidR="001A3189">
        <w:t>,</w:t>
      </w:r>
      <w:r>
        <w:t xml:space="preserve"> therefore, </w:t>
      </w:r>
      <w:r w:rsidR="002A4FBC" w:rsidRPr="0085125A">
        <w:t xml:space="preserve">situate this study in the context of other similar studies by employing the same variables recommended by the theoretical and empirical literature. The study seeks </w:t>
      </w:r>
      <w:r w:rsidR="00205143">
        <w:t xml:space="preserve">to </w:t>
      </w:r>
      <w:r w:rsidR="002A4FBC" w:rsidRPr="0085125A">
        <w:t xml:space="preserve">examine the causal relationship between energy usage and macroeconomic variables. </w:t>
      </w:r>
    </w:p>
    <w:p w14:paraId="13C801A8" w14:textId="1EF5EAA3" w:rsidR="002A4FBC" w:rsidRPr="0085125A" w:rsidRDefault="002A4FBC" w:rsidP="002A4FBC">
      <w:pPr>
        <w:keepNext/>
        <w:keepLines/>
        <w:spacing w:before="40" w:line="360" w:lineRule="auto"/>
        <w:jc w:val="both"/>
        <w:outlineLvl w:val="1"/>
        <w:rPr>
          <w:rFonts w:eastAsiaTheme="majorEastAsia"/>
          <w:b/>
        </w:rPr>
      </w:pPr>
      <w:r w:rsidRPr="0085125A">
        <w:rPr>
          <w:rFonts w:eastAsiaTheme="majorEastAsia"/>
          <w:b/>
        </w:rPr>
        <w:t xml:space="preserve">2.4. </w:t>
      </w:r>
      <w:r w:rsidR="00E77891">
        <w:rPr>
          <w:rFonts w:eastAsiaTheme="majorEastAsia"/>
          <w:b/>
        </w:rPr>
        <w:t xml:space="preserve">An </w:t>
      </w:r>
      <w:r w:rsidR="00225596">
        <w:rPr>
          <w:rFonts w:eastAsiaTheme="majorEastAsia"/>
          <w:b/>
        </w:rPr>
        <w:t>Overview</w:t>
      </w:r>
      <w:r w:rsidRPr="0085125A">
        <w:rPr>
          <w:rFonts w:eastAsiaTheme="majorEastAsia"/>
          <w:b/>
        </w:rPr>
        <w:t xml:space="preserve"> </w:t>
      </w:r>
      <w:r w:rsidR="00225596">
        <w:rPr>
          <w:rFonts w:eastAsiaTheme="majorEastAsia"/>
          <w:b/>
        </w:rPr>
        <w:t xml:space="preserve">of </w:t>
      </w:r>
      <w:r w:rsidR="00225596" w:rsidRPr="0085125A">
        <w:rPr>
          <w:rFonts w:eastAsiaTheme="majorEastAsia"/>
          <w:b/>
        </w:rPr>
        <w:t xml:space="preserve">Energy </w:t>
      </w:r>
      <w:r w:rsidR="001A3189">
        <w:rPr>
          <w:rFonts w:eastAsiaTheme="majorEastAsia"/>
          <w:b/>
        </w:rPr>
        <w:t>Use</w:t>
      </w:r>
      <w:r w:rsidR="00E77891">
        <w:rPr>
          <w:rFonts w:eastAsiaTheme="majorEastAsia"/>
          <w:b/>
        </w:rPr>
        <w:t xml:space="preserve"> </w:t>
      </w:r>
      <w:r w:rsidRPr="0085125A">
        <w:rPr>
          <w:rFonts w:eastAsiaTheme="majorEastAsia"/>
          <w:b/>
        </w:rPr>
        <w:t xml:space="preserve">in Rwanda </w:t>
      </w:r>
    </w:p>
    <w:p w14:paraId="7AF44722" w14:textId="3F16D65D" w:rsidR="002A4FBC" w:rsidRPr="0085125A" w:rsidRDefault="002A4FBC" w:rsidP="002A4FBC">
      <w:pPr>
        <w:spacing w:line="360" w:lineRule="auto"/>
        <w:jc w:val="both"/>
      </w:pPr>
      <w:r w:rsidRPr="0085125A">
        <w:t xml:space="preserve">According to different studies (Safari B. K., 2010; </w:t>
      </w:r>
      <w:r w:rsidR="000770B7">
        <w:t>MINENFRA</w:t>
      </w:r>
      <w:r w:rsidRPr="0085125A">
        <w:t xml:space="preserve">, 2018; </w:t>
      </w:r>
      <w:r w:rsidR="00E77891">
        <w:t>business-Sweeden</w:t>
      </w:r>
      <w:r w:rsidRPr="0085125A">
        <w:t>, 2016), Rwanda has different sources</w:t>
      </w:r>
      <w:r w:rsidR="00E77891">
        <w:t xml:space="preserve"> </w:t>
      </w:r>
      <w:r w:rsidRPr="0085125A">
        <w:t xml:space="preserve">of energy including but not limited to photovoltaic, biomass, hydropower, methane gas, and geothermal power however, most these are not yet used to their full potential. For instance, the electricity supply in Rwanda is sourced mainly from hydropower and thermal sources respectively. As of June 2021, the Rwanda Energy Group (REG) annual report 2020-2021 indicates that 64.53 % of households had access to electricity, up from 55.41 % in June 2020 against the country’s target of 100% by 2024 according to the Rwanda Energy Sector Plan (2018). The country targets to reduce biomass use to 42% from </w:t>
      </w:r>
      <w:r w:rsidR="001A3189">
        <w:t xml:space="preserve">the </w:t>
      </w:r>
      <w:r w:rsidRPr="0085125A">
        <w:t xml:space="preserve">current 83% and increase electricity generation capacity to 556MW </w:t>
      </w:r>
      <w:r w:rsidR="00BC73A6">
        <w:t xml:space="preserve">in </w:t>
      </w:r>
      <w:r w:rsidRPr="0085125A">
        <w:t xml:space="preserve">the same period. For instance, as of September 2021, the total installed power generation capacity had increased to 238.37 MW, up from 228.418 MW in June 2020. </w:t>
      </w:r>
      <w:r w:rsidR="001A3189">
        <w:t>The i</w:t>
      </w:r>
      <w:r w:rsidRPr="0085125A">
        <w:t>ndependent power producers now have 121.52MW of installed capacity accounting for 50.78 % of total installed capacity largely owned by the Government of Rwanda (99.216 MW), which accounts for 41.62 % of total installed</w:t>
      </w:r>
      <w:r w:rsidR="00BC73A6">
        <w:t xml:space="preserve"> capacity, and imported</w:t>
      </w:r>
      <w:r w:rsidRPr="0085125A">
        <w:t xml:space="preserve"> energy (18.1MW) accounts for 7.59 %.</w:t>
      </w:r>
      <w:r w:rsidR="001A3189">
        <w:t xml:space="preserve"> Hydropower</w:t>
      </w:r>
      <w:r w:rsidRPr="0085125A">
        <w:t xml:space="preserve"> and thermal power </w:t>
      </w:r>
      <w:r w:rsidR="00BC73A6">
        <w:t>continue</w:t>
      </w:r>
      <w:r w:rsidRPr="0085125A">
        <w:t xml:space="preserve"> to dominate </w:t>
      </w:r>
      <w:r w:rsidR="00BC73A6">
        <w:t xml:space="preserve">installed energy </w:t>
      </w:r>
      <w:r w:rsidR="001A3189">
        <w:t>sources</w:t>
      </w:r>
      <w:r w:rsidR="00BC73A6">
        <w:t xml:space="preserve"> </w:t>
      </w:r>
      <w:r w:rsidRPr="0085125A">
        <w:t xml:space="preserve">with the biggest shares of installed generation capacity of 44% (104.628 MW) and 25% (58.8MW), respectively, while solar power provides the least (5%) as per table 1 and graph 1 here below.  </w:t>
      </w:r>
    </w:p>
    <w:p w14:paraId="0859D549" w14:textId="6577C8A8" w:rsidR="002A4FBC" w:rsidRPr="0085125A" w:rsidRDefault="002A4FBC" w:rsidP="002A4FBC">
      <w:pPr>
        <w:spacing w:line="360" w:lineRule="auto"/>
        <w:jc w:val="both"/>
      </w:pPr>
      <w:r w:rsidRPr="0085125A">
        <w:rPr>
          <w:noProof/>
        </w:rPr>
        <w:lastRenderedPageBreak/>
        <w:drawing>
          <wp:inline distT="0" distB="0" distL="0" distR="0" wp14:anchorId="39B167E6" wp14:editId="65EBA6AA">
            <wp:extent cx="5943600" cy="2494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94280"/>
                    </a:xfrm>
                    <a:prstGeom prst="rect">
                      <a:avLst/>
                    </a:prstGeom>
                  </pic:spPr>
                </pic:pic>
              </a:graphicData>
            </a:graphic>
          </wp:inline>
        </w:drawing>
      </w:r>
      <w:r w:rsidRPr="00BC73A6">
        <w:rPr>
          <w:b/>
        </w:rPr>
        <w:t>Source:</w:t>
      </w:r>
      <w:r w:rsidRPr="0085125A">
        <w:t xml:space="preserve"> Rwanda Energy </w:t>
      </w:r>
      <w:r w:rsidR="00026D9A">
        <w:t>Group</w:t>
      </w:r>
      <w:r w:rsidRPr="0085125A">
        <w:t xml:space="preserve"> (REG) annual report 2020-2021</w:t>
      </w:r>
    </w:p>
    <w:p w14:paraId="7957F901" w14:textId="7C411F8C" w:rsidR="002A4FBC" w:rsidRPr="0085125A" w:rsidRDefault="002A4FBC" w:rsidP="002A4FBC">
      <w:pPr>
        <w:spacing w:line="360" w:lineRule="auto"/>
        <w:jc w:val="both"/>
      </w:pPr>
      <w:r w:rsidRPr="0085125A">
        <w:t xml:space="preserve">However, the traditional source of energy, biomass including firewood, charcoal, crop wastes </w:t>
      </w:r>
      <w:r w:rsidR="00026D9A">
        <w:t xml:space="preserve">and </w:t>
      </w:r>
      <w:r w:rsidRPr="0085125A">
        <w:t xml:space="preserve">many others </w:t>
      </w:r>
      <w:r w:rsidR="00026D9A">
        <w:t xml:space="preserve">remains </w:t>
      </w:r>
      <w:r w:rsidRPr="0085125A">
        <w:t xml:space="preserve">the largest source of energy in Rwanda accounting for 85% dominantly used by rural households and contributing about 5% to the GDP. </w:t>
      </w:r>
    </w:p>
    <w:p w14:paraId="3EF89100" w14:textId="77777777" w:rsidR="002A4FBC" w:rsidRPr="0085125A" w:rsidRDefault="002A4FBC" w:rsidP="002A4FBC">
      <w:pPr>
        <w:keepNext/>
        <w:keepLines/>
        <w:spacing w:before="40" w:line="360" w:lineRule="auto"/>
        <w:jc w:val="both"/>
        <w:outlineLvl w:val="1"/>
        <w:rPr>
          <w:rFonts w:eastAsiaTheme="majorEastAsia"/>
          <w:b/>
        </w:rPr>
      </w:pPr>
      <w:r w:rsidRPr="0085125A">
        <w:rPr>
          <w:rFonts w:eastAsiaTheme="majorEastAsia"/>
          <w:b/>
        </w:rPr>
        <w:t>2.5 Energy Consumption in Rwanda</w:t>
      </w:r>
      <w:bookmarkEnd w:id="3"/>
      <w:bookmarkEnd w:id="4"/>
    </w:p>
    <w:p w14:paraId="60DF8DBB" w14:textId="1CDA2440" w:rsidR="002A4FBC" w:rsidRPr="0085125A" w:rsidRDefault="002A4FBC" w:rsidP="002A4FBC">
      <w:pPr>
        <w:spacing w:line="360" w:lineRule="auto"/>
        <w:jc w:val="both"/>
      </w:pPr>
      <w:r w:rsidRPr="0085125A">
        <w:t xml:space="preserve">In Rwanda, despite the recent effects of COVID-19, the country experienced exponential economic growth with average annual GDP growth ranging between 7% and 8%. Energy production and consumption have witnessed a continuous increase in recent years. Rwanda’s electricity demand is grouped into two categories; the residential sector comprises the households as consumers and the non-residential sector covers all agricultural, industrial, and service sectors respectively. The electricity demand per house in the base year, as well as the predicted population and GDP, are required inputs in estimating future power demand (Mudaheranwa et al., 2019).  Among the determinants of recent economic growth in Rwanda, there has been the emergence of industrialization, public investments and tradable services respectively. The emergence of these sectors is strongly associated with an increase in energy demand and consumption. However, sparse is known to confirm the causal effect. </w:t>
      </w:r>
      <w:r w:rsidR="00BC73A6">
        <w:t xml:space="preserve">The Government of Rwanda </w:t>
      </w:r>
      <w:r w:rsidRPr="0085125A">
        <w:t xml:space="preserve">is currently engrossed in intensively developing its sectors, such as infrastructure, with a focus on energy as </w:t>
      </w:r>
      <w:r w:rsidR="00BC73A6">
        <w:t xml:space="preserve">one of the </w:t>
      </w:r>
      <w:r w:rsidRPr="0085125A">
        <w:t xml:space="preserve">fundamental </w:t>
      </w:r>
      <w:r w:rsidR="00BC73A6">
        <w:t xml:space="preserve">mediating </w:t>
      </w:r>
      <w:r w:rsidRPr="0085125A">
        <w:t>driver</w:t>
      </w:r>
      <w:r w:rsidR="00BC73A6">
        <w:t>s</w:t>
      </w:r>
      <w:r w:rsidRPr="0085125A">
        <w:t xml:space="preserve"> of economic growth (Minecofin, 2007). </w:t>
      </w:r>
    </w:p>
    <w:p w14:paraId="173C2D32" w14:textId="02405951" w:rsidR="00694967" w:rsidRPr="0085125A" w:rsidRDefault="002A4FBC" w:rsidP="001F0AF6">
      <w:pPr>
        <w:spacing w:after="200" w:line="360" w:lineRule="auto"/>
        <w:jc w:val="both"/>
      </w:pPr>
      <w:r w:rsidRPr="0085125A">
        <w:t>Nevertheless, the overall total energy consumption has increased exponentially over the last three decades, though it is still dominated by the traditional source of energy (biomass). We know that more than 75</w:t>
      </w:r>
      <w:r w:rsidR="000770B7">
        <w:t xml:space="preserve"> percent</w:t>
      </w:r>
      <w:r w:rsidRPr="0085125A">
        <w:t xml:space="preserve"> of people in the country still cook with antiquated, ineffective methods. </w:t>
      </w:r>
      <w:r w:rsidRPr="0085125A">
        <w:lastRenderedPageBreak/>
        <w:t>According to the results of the most recent National Institute of Statistics of Rwanda (NISR) household survey (EICV 6), 77.7</w:t>
      </w:r>
      <w:r w:rsidR="00026D9A">
        <w:t>%</w:t>
      </w:r>
      <w:r w:rsidRPr="0085125A">
        <w:t xml:space="preserve"> of the population still uses firewood as a source of cooking fuel (see MINIFRA, 2021). Besides biomass, consumption of other sources of energy is still low, but progressively </w:t>
      </w:r>
      <w:r w:rsidR="00026D9A">
        <w:t>increasing with income levels. H</w:t>
      </w:r>
      <w:r w:rsidRPr="0085125A">
        <w:t>ouseholds move from traditional energy to new fuels and technologies partially rather than as full substitutes and as the term leapfrogging implies</w:t>
      </w:r>
      <w:r w:rsidR="00026D9A">
        <w:t xml:space="preserve"> </w:t>
      </w:r>
      <w:r w:rsidR="00026D9A" w:rsidRPr="00026D9A">
        <w:t>(Arnold et al., 2006)</w:t>
      </w:r>
      <w:r w:rsidRPr="0085125A">
        <w:t xml:space="preserve">. There is a rapid transition from the traditional source of energy to modern </w:t>
      </w:r>
      <w:r w:rsidR="00C075AE">
        <w:t>sources</w:t>
      </w:r>
      <w:r w:rsidRPr="0085125A">
        <w:t xml:space="preserve"> like electricity (Murphy, 2001). Accordingly, figure 2 presents the trends of energy co</w:t>
      </w:r>
      <w:r w:rsidR="001F0AF6">
        <w:t xml:space="preserve">nsumption by sector in Rwanda. </w:t>
      </w:r>
      <w:r w:rsidRPr="0085125A">
        <w:t xml:space="preserve">Rwanda’s energy profile shows that Energy consumption increased progressively </w:t>
      </w:r>
      <w:r w:rsidR="001F0AF6">
        <w:t>in different energy sources as</w:t>
      </w:r>
      <w:r w:rsidRPr="0085125A">
        <w:t xml:space="preserve"> illustrated in Figure 2.</w:t>
      </w:r>
    </w:p>
    <w:p w14:paraId="4C8BC48B" w14:textId="48EADCD1" w:rsidR="009B6DAE" w:rsidRPr="0085125A" w:rsidRDefault="009B6DAE" w:rsidP="005F7F63">
      <w:pPr>
        <w:pStyle w:val="NoSpacing"/>
        <w:spacing w:line="360" w:lineRule="auto"/>
        <w:jc w:val="both"/>
        <w:rPr>
          <w:rFonts w:ascii="Times New Roman" w:hAnsi="Times New Roman" w:cs="Times New Roman"/>
          <w:b/>
          <w:sz w:val="24"/>
          <w:szCs w:val="24"/>
        </w:rPr>
      </w:pPr>
      <w:r w:rsidRPr="0085125A">
        <w:rPr>
          <w:rFonts w:ascii="Times New Roman" w:hAnsi="Times New Roman" w:cs="Times New Roman"/>
          <w:b/>
          <w:sz w:val="24"/>
          <w:szCs w:val="24"/>
        </w:rPr>
        <w:t xml:space="preserve">Figure 2.Evolution of </w:t>
      </w:r>
      <w:r w:rsidR="00C075AE">
        <w:rPr>
          <w:rFonts w:ascii="Times New Roman" w:hAnsi="Times New Roman" w:cs="Times New Roman"/>
          <w:b/>
          <w:sz w:val="24"/>
          <w:szCs w:val="24"/>
        </w:rPr>
        <w:t>Energy</w:t>
      </w:r>
      <w:r w:rsidRPr="0085125A">
        <w:rPr>
          <w:rFonts w:ascii="Times New Roman" w:hAnsi="Times New Roman" w:cs="Times New Roman"/>
          <w:b/>
          <w:sz w:val="24"/>
          <w:szCs w:val="24"/>
        </w:rPr>
        <w:t xml:space="preserve"> Consumption by </w:t>
      </w:r>
      <w:r w:rsidR="00C075AE">
        <w:rPr>
          <w:rFonts w:ascii="Times New Roman" w:hAnsi="Times New Roman" w:cs="Times New Roman"/>
          <w:b/>
          <w:sz w:val="24"/>
          <w:szCs w:val="24"/>
        </w:rPr>
        <w:t>Source</w:t>
      </w:r>
      <w:r w:rsidRPr="0085125A">
        <w:rPr>
          <w:rFonts w:ascii="Times New Roman" w:hAnsi="Times New Roman" w:cs="Times New Roman"/>
          <w:b/>
          <w:sz w:val="24"/>
          <w:szCs w:val="24"/>
        </w:rPr>
        <w:t xml:space="preserve"> and Sector</w:t>
      </w:r>
      <w:r w:rsidR="004757EA">
        <w:rPr>
          <w:rFonts w:ascii="Times New Roman" w:hAnsi="Times New Roman" w:cs="Times New Roman"/>
          <w:b/>
          <w:sz w:val="24"/>
          <w:szCs w:val="24"/>
        </w:rPr>
        <w:t xml:space="preserve"> (%)</w:t>
      </w:r>
    </w:p>
    <w:p w14:paraId="20D734A5" w14:textId="77777777" w:rsidR="009B6DAE" w:rsidRPr="0085125A" w:rsidRDefault="00694967" w:rsidP="009B6DAE">
      <w:pPr>
        <w:pStyle w:val="NoSpacing"/>
        <w:spacing w:line="360" w:lineRule="auto"/>
        <w:jc w:val="both"/>
        <w:rPr>
          <w:rFonts w:ascii="Times New Roman" w:hAnsi="Times New Roman" w:cs="Times New Roman"/>
          <w:sz w:val="24"/>
          <w:szCs w:val="24"/>
        </w:rPr>
      </w:pPr>
      <w:r w:rsidRPr="0085125A">
        <w:rPr>
          <w:rFonts w:ascii="Times New Roman" w:hAnsi="Times New Roman" w:cs="Times New Roman"/>
          <w:noProof/>
          <w:sz w:val="24"/>
          <w:szCs w:val="24"/>
        </w:rPr>
        <w:drawing>
          <wp:inline distT="0" distB="0" distL="0" distR="0" wp14:anchorId="2B7A337C" wp14:editId="033DE8A6">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3D540D" w14:textId="0B3041B3" w:rsidR="009B6DAE" w:rsidRPr="0085125A" w:rsidRDefault="00920EE8" w:rsidP="009B6DAE">
      <w:pPr>
        <w:spacing w:line="360" w:lineRule="auto"/>
        <w:jc w:val="both"/>
      </w:pPr>
      <w:r w:rsidRPr="001F0AF6">
        <w:rPr>
          <w:b/>
        </w:rPr>
        <w:t>Source:</w:t>
      </w:r>
      <w:r w:rsidRPr="0085125A">
        <w:t xml:space="preserve"> (</w:t>
      </w:r>
      <w:r w:rsidR="000770B7">
        <w:t>M</w:t>
      </w:r>
      <w:r w:rsidRPr="0085125A">
        <w:t>I</w:t>
      </w:r>
      <w:r w:rsidR="000770B7">
        <w:t>NI</w:t>
      </w:r>
      <w:r w:rsidRPr="0085125A">
        <w:t>RENA, 2022</w:t>
      </w:r>
      <w:r w:rsidR="009B6DAE" w:rsidRPr="0085125A">
        <w:t xml:space="preserve">) </w:t>
      </w:r>
    </w:p>
    <w:p w14:paraId="21A87236" w14:textId="1E48E184" w:rsidR="002A4FBC" w:rsidRPr="0085125A" w:rsidRDefault="002A4FBC" w:rsidP="002A4FBC">
      <w:pPr>
        <w:spacing w:line="360" w:lineRule="auto"/>
        <w:jc w:val="both"/>
      </w:pPr>
      <w:r w:rsidRPr="0085125A">
        <w:t xml:space="preserve">Evidently, figure 2 demonstrates that households are the main source of energy consumption in Rwanda, with traditional sources (biomass) still taking the </w:t>
      </w:r>
      <w:r w:rsidR="004757EA">
        <w:t>lion’s</w:t>
      </w:r>
      <w:r w:rsidRPr="0085125A">
        <w:t xml:space="preserve"> share followed by transport and industry. (see </w:t>
      </w:r>
      <w:r w:rsidR="004757EA">
        <w:t>Figure</w:t>
      </w:r>
      <w:r w:rsidRPr="0085125A">
        <w:t xml:space="preserve"> 3). </w:t>
      </w:r>
      <w:r w:rsidR="001F0AF6">
        <w:t>However, t</w:t>
      </w:r>
      <w:r w:rsidRPr="0085125A">
        <w:t xml:space="preserve">he transition from traditional to clean energy is still moderate.  </w:t>
      </w:r>
    </w:p>
    <w:p w14:paraId="56323BD6" w14:textId="77777777" w:rsidR="002A4FBC" w:rsidRPr="0085125A" w:rsidRDefault="002A4FBC" w:rsidP="002A4FBC">
      <w:pPr>
        <w:keepNext/>
        <w:spacing w:line="360" w:lineRule="auto"/>
        <w:jc w:val="both"/>
        <w:rPr>
          <w:b/>
        </w:rPr>
      </w:pPr>
      <w:bookmarkStart w:id="5" w:name="_Toc87454232"/>
      <w:r w:rsidRPr="0085125A">
        <w:rPr>
          <w:b/>
        </w:rPr>
        <w:lastRenderedPageBreak/>
        <w:t>Figure3: Total Energy Consumption by Sub-Sector</w:t>
      </w:r>
      <w:bookmarkEnd w:id="5"/>
      <w:r w:rsidRPr="0085125A">
        <w:rPr>
          <w:b/>
        </w:rPr>
        <w:t xml:space="preserve"> </w:t>
      </w:r>
    </w:p>
    <w:p w14:paraId="602E5FC0" w14:textId="77777777" w:rsidR="002A4FBC" w:rsidRPr="0085125A" w:rsidRDefault="002A4FBC" w:rsidP="002A4FBC">
      <w:pPr>
        <w:tabs>
          <w:tab w:val="left" w:pos="8830"/>
          <w:tab w:val="right" w:pos="9360"/>
        </w:tabs>
        <w:spacing w:line="360" w:lineRule="auto"/>
        <w:jc w:val="both"/>
      </w:pPr>
      <w:r w:rsidRPr="0085125A">
        <w:rPr>
          <w:noProof/>
        </w:rPr>
        <w:drawing>
          <wp:inline distT="0" distB="0" distL="0" distR="0" wp14:anchorId="45C2F6C5" wp14:editId="6381C726">
            <wp:extent cx="5435600" cy="2550160"/>
            <wp:effectExtent l="0" t="0" r="1270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5125A">
        <w:tab/>
      </w:r>
    </w:p>
    <w:p w14:paraId="6E1C2EE0" w14:textId="2CE790DF" w:rsidR="002A4FBC" w:rsidRPr="0085125A" w:rsidRDefault="000770B7" w:rsidP="002A4FBC">
      <w:pPr>
        <w:spacing w:line="360" w:lineRule="auto"/>
        <w:jc w:val="both"/>
      </w:pPr>
      <w:r>
        <w:t>Source :( MINEN</w:t>
      </w:r>
      <w:r w:rsidR="002A4FBC" w:rsidRPr="0085125A">
        <w:t>FRA, 2018)</w:t>
      </w:r>
    </w:p>
    <w:p w14:paraId="4A3F3751" w14:textId="39D42166" w:rsidR="002A4FBC" w:rsidRPr="0085125A" w:rsidRDefault="002A4FBC" w:rsidP="002A4FBC">
      <w:pPr>
        <w:spacing w:line="360" w:lineRule="auto"/>
        <w:jc w:val="both"/>
      </w:pPr>
      <w:r w:rsidRPr="0085125A">
        <w:t>The energy consumption is dominated by households (82</w:t>
      </w:r>
      <w:r w:rsidR="004757EA">
        <w:t>%</w:t>
      </w:r>
      <w:r w:rsidRPr="0085125A">
        <w:t xml:space="preserve">), which are largely dependent on traditional </w:t>
      </w:r>
      <w:r w:rsidR="00B17A2A">
        <w:t>sources</w:t>
      </w:r>
      <w:r w:rsidRPr="0085125A">
        <w:t xml:space="preserve"> of energy, </w:t>
      </w:r>
      <w:r w:rsidR="00B17A2A">
        <w:t xml:space="preserve">which is </w:t>
      </w:r>
      <w:r w:rsidR="004757EA">
        <w:t xml:space="preserve">largely </w:t>
      </w:r>
      <w:r w:rsidRPr="0085125A">
        <w:t xml:space="preserve">consumed by rural households. The socio-economic status of the households determines the consumption and accessibility patterns of energy use in Rwanda. Accordingly, the majority of rural households are under </w:t>
      </w:r>
      <w:r w:rsidR="00B17A2A">
        <w:t xml:space="preserve">the </w:t>
      </w:r>
      <w:r w:rsidRPr="0085125A">
        <w:t xml:space="preserve">poverty category, which makes </w:t>
      </w:r>
      <w:r w:rsidR="000770B7">
        <w:t xml:space="preserve">it </w:t>
      </w:r>
      <w:r w:rsidRPr="0085125A">
        <w:t xml:space="preserve">hard for them to shift to other sources of energy for use, but also the issue of accessibility is playing out. </w:t>
      </w:r>
      <w:r w:rsidR="00B17A2A">
        <w:t>In addition, t</w:t>
      </w:r>
      <w:r w:rsidRPr="0085125A">
        <w:t xml:space="preserve">he </w:t>
      </w:r>
      <w:r w:rsidR="00B17A2A">
        <w:t>quantity and type of energy use</w:t>
      </w:r>
      <w:r w:rsidRPr="0085125A">
        <w:t xml:space="preserve"> depend on the socio-economic characteristics of households</w:t>
      </w:r>
      <w:r w:rsidR="00B17A2A">
        <w:t xml:space="preserve"> </w:t>
      </w:r>
      <w:r w:rsidRPr="0085125A">
        <w:t>and the area of residence</w:t>
      </w:r>
      <w:r w:rsidR="00B17A2A">
        <w:t xml:space="preserve"> </w:t>
      </w:r>
      <w:r w:rsidR="00B17A2A" w:rsidRPr="00B17A2A">
        <w:t>(Marathe &amp; Eltrop, 2017)</w:t>
      </w:r>
      <w:r w:rsidRPr="0085125A">
        <w:t xml:space="preserve">. </w:t>
      </w:r>
      <w:r w:rsidRPr="0085125A">
        <w:rPr>
          <w:noProof/>
        </w:rPr>
        <w:t>Accordingly</w:t>
      </w:r>
      <w:r w:rsidR="00B17A2A">
        <w:rPr>
          <w:noProof/>
        </w:rPr>
        <w:t>,</w:t>
      </w:r>
      <w:r w:rsidRPr="0085125A">
        <w:rPr>
          <w:noProof/>
        </w:rPr>
        <w:t xml:space="preserve"> 84</w:t>
      </w:r>
      <w:r w:rsidR="00B17A2A">
        <w:rPr>
          <w:noProof/>
        </w:rPr>
        <w:t>%</w:t>
      </w:r>
      <w:r w:rsidRPr="0085125A">
        <w:rPr>
          <w:noProof/>
        </w:rPr>
        <w:t xml:space="preserve"> of rural households use traditional </w:t>
      </w:r>
      <w:r w:rsidR="00B17A2A">
        <w:rPr>
          <w:noProof/>
        </w:rPr>
        <w:t>sources</w:t>
      </w:r>
      <w:r w:rsidRPr="0085125A">
        <w:rPr>
          <w:noProof/>
        </w:rPr>
        <w:t xml:space="preserve"> of energy, against 15</w:t>
      </w:r>
      <w:r w:rsidR="00B17A2A">
        <w:rPr>
          <w:noProof/>
        </w:rPr>
        <w:t>%</w:t>
      </w:r>
      <w:r w:rsidRPr="0085125A">
        <w:rPr>
          <w:noProof/>
        </w:rPr>
        <w:t xml:space="preserve"> who use modern sources of energy. </w:t>
      </w:r>
      <w:r w:rsidRPr="0085125A">
        <w:t>IOB (2014) note that the distinction in a household's payment ability has an effect on choice, connectivity access, and quantity of energy to consume. This is reinforced by the findings of the Rwanda Poverty Profile Report</w:t>
      </w:r>
      <w:r w:rsidRPr="0085125A">
        <w:rPr>
          <w:rFonts w:eastAsiaTheme="majorEastAsia"/>
        </w:rPr>
        <w:t xml:space="preserve"> </w:t>
      </w:r>
      <w:r w:rsidRPr="0085125A">
        <w:rPr>
          <w:bCs/>
        </w:rPr>
        <w:t>2016/17</w:t>
      </w:r>
      <w:r w:rsidRPr="0085125A">
        <w:t xml:space="preserve"> (EICV5) which shows the impact of the poverty status on energy consumption in Rwanda. Accordingly, 10</w:t>
      </w:r>
      <w:r w:rsidR="000770B7">
        <w:t xml:space="preserve"> percent</w:t>
      </w:r>
      <w:r w:rsidRPr="0085125A">
        <w:t xml:space="preserve"> of poor households use electricity against 76</w:t>
      </w:r>
      <w:r w:rsidR="000770B7">
        <w:t xml:space="preserve"> percent</w:t>
      </w:r>
      <w:r w:rsidRPr="0085125A">
        <w:t xml:space="preserve"> of rich households (NISR, 2018). Despite the observed gap, overall, energy consumption has increased with Rwanda’s economic growth in recent years represented by GDP per capita. The figure 3 depicts trends of GDP per capita and total energy usage in Rwanda.  </w:t>
      </w:r>
    </w:p>
    <w:p w14:paraId="763A06A6" w14:textId="77777777" w:rsidR="002A4FBC" w:rsidRPr="0085125A" w:rsidRDefault="002A4FBC" w:rsidP="002A4FBC">
      <w:pPr>
        <w:spacing w:line="360" w:lineRule="auto"/>
        <w:jc w:val="both"/>
      </w:pPr>
    </w:p>
    <w:p w14:paraId="2B1E018C" w14:textId="77777777" w:rsidR="002A4FBC" w:rsidRPr="0085125A" w:rsidRDefault="002A4FBC" w:rsidP="002A4FBC">
      <w:pPr>
        <w:spacing w:line="360" w:lineRule="auto"/>
        <w:jc w:val="both"/>
        <w:rPr>
          <w:b/>
        </w:rPr>
      </w:pPr>
    </w:p>
    <w:p w14:paraId="392E196C" w14:textId="77777777" w:rsidR="002A4FBC" w:rsidRPr="0085125A" w:rsidRDefault="002A4FBC" w:rsidP="002A4FBC">
      <w:pPr>
        <w:spacing w:line="360" w:lineRule="auto"/>
        <w:jc w:val="both"/>
        <w:rPr>
          <w:b/>
        </w:rPr>
      </w:pPr>
    </w:p>
    <w:p w14:paraId="38921B9A" w14:textId="77777777" w:rsidR="002A4FBC" w:rsidRPr="0085125A" w:rsidRDefault="002A4FBC" w:rsidP="002A4FBC">
      <w:pPr>
        <w:spacing w:line="360" w:lineRule="auto"/>
        <w:jc w:val="both"/>
        <w:rPr>
          <w:b/>
        </w:rPr>
      </w:pPr>
    </w:p>
    <w:p w14:paraId="5839B4D7" w14:textId="77777777" w:rsidR="002A4FBC" w:rsidRPr="0085125A" w:rsidRDefault="002A4FBC" w:rsidP="002A4FBC">
      <w:pPr>
        <w:spacing w:line="360" w:lineRule="auto"/>
        <w:jc w:val="both"/>
        <w:rPr>
          <w:b/>
        </w:rPr>
      </w:pPr>
    </w:p>
    <w:p w14:paraId="38DB8A67" w14:textId="12B3115F" w:rsidR="002A4FBC" w:rsidRPr="0085125A" w:rsidRDefault="00C63D53" w:rsidP="002A4FBC">
      <w:pPr>
        <w:spacing w:line="360" w:lineRule="auto"/>
        <w:jc w:val="both"/>
        <w:rPr>
          <w:b/>
        </w:rPr>
      </w:pPr>
      <w:r>
        <w:rPr>
          <w:b/>
        </w:rPr>
        <w:t>Figure 4: Energy Consumption Nexus Economic G</w:t>
      </w:r>
      <w:r w:rsidR="002A4FBC" w:rsidRPr="0085125A">
        <w:rPr>
          <w:b/>
        </w:rPr>
        <w:t>rowth</w:t>
      </w:r>
    </w:p>
    <w:p w14:paraId="59595347" w14:textId="77777777" w:rsidR="002A4FBC" w:rsidRPr="0085125A" w:rsidRDefault="002A4FBC" w:rsidP="002A4FBC">
      <w:pPr>
        <w:spacing w:line="360" w:lineRule="auto"/>
        <w:jc w:val="both"/>
      </w:pPr>
      <w:r w:rsidRPr="0085125A">
        <w:rPr>
          <w:noProof/>
          <w:sz w:val="16"/>
          <w:szCs w:val="16"/>
        </w:rPr>
        <w:drawing>
          <wp:inline distT="0" distB="0" distL="0" distR="0" wp14:anchorId="04C1D6A6" wp14:editId="1B54499E">
            <wp:extent cx="4960189" cy="2760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0944" cy="2766330"/>
                    </a:xfrm>
                    <a:prstGeom prst="rect">
                      <a:avLst/>
                    </a:prstGeom>
                  </pic:spPr>
                </pic:pic>
              </a:graphicData>
            </a:graphic>
          </wp:inline>
        </w:drawing>
      </w:r>
    </w:p>
    <w:p w14:paraId="52DCBE08" w14:textId="77777777" w:rsidR="002A4FBC" w:rsidRPr="0085125A" w:rsidRDefault="002A4FBC" w:rsidP="002A4FBC">
      <w:pPr>
        <w:spacing w:line="360" w:lineRule="auto"/>
        <w:jc w:val="both"/>
      </w:pPr>
      <w:r w:rsidRPr="002553A2">
        <w:rPr>
          <w:b/>
        </w:rPr>
        <w:t>Source:</w:t>
      </w:r>
      <w:r w:rsidRPr="0085125A">
        <w:t xml:space="preserve"> Author's estimation based on (June 2022) time-series data from our World in data.</w:t>
      </w:r>
    </w:p>
    <w:p w14:paraId="50B9A301" w14:textId="3CB82303" w:rsidR="002A4FBC" w:rsidRPr="0085125A" w:rsidRDefault="002502E5" w:rsidP="002502E5">
      <w:pPr>
        <w:spacing w:line="360" w:lineRule="auto"/>
        <w:jc w:val="both"/>
      </w:pPr>
      <w:r w:rsidRPr="002502E5">
        <w:t>The figure 4 depicts a positive association between energy consumption (Total final consumption) and economic growth (GDP per capita)</w:t>
      </w:r>
      <w:r>
        <w:t xml:space="preserve"> for the period from 1990 to 2021. </w:t>
      </w:r>
      <w:r w:rsidRPr="002502E5">
        <w:t xml:space="preserve"> </w:t>
      </w:r>
    </w:p>
    <w:p w14:paraId="7CAF3780" w14:textId="77777777" w:rsidR="002A4FBC" w:rsidRPr="0085125A" w:rsidRDefault="002A4FBC" w:rsidP="002A4FBC">
      <w:pPr>
        <w:spacing w:line="360" w:lineRule="auto"/>
        <w:jc w:val="both"/>
        <w:rPr>
          <w:b/>
        </w:rPr>
      </w:pPr>
      <w:r w:rsidRPr="0085125A">
        <w:rPr>
          <w:b/>
        </w:rPr>
        <w:t>3.0. Data and Sources</w:t>
      </w:r>
    </w:p>
    <w:p w14:paraId="68F1170B" w14:textId="7C4CE555" w:rsidR="002A4FBC" w:rsidRPr="0085125A" w:rsidRDefault="002A4FBC" w:rsidP="002A4FBC">
      <w:pPr>
        <w:spacing w:line="360" w:lineRule="auto"/>
        <w:jc w:val="both"/>
      </w:pPr>
      <w:r w:rsidRPr="0085125A">
        <w:t xml:space="preserve">This study relies on macroeconomic determinants </w:t>
      </w:r>
      <w:r w:rsidR="00061622">
        <w:t>of energy consumption in Rwanda with t</w:t>
      </w:r>
      <w:r w:rsidRPr="0085125A">
        <w:t>ime series data from 1990 to 20</w:t>
      </w:r>
      <w:r w:rsidR="00061622">
        <w:t>21</w:t>
      </w:r>
      <w:r w:rsidRPr="0085125A">
        <w:t>. The data set of this study is based on secondary data sourced from the World Bank (2022) World Development Indicators</w:t>
      </w:r>
      <w:r w:rsidR="00061622">
        <w:t>. Related theoretical and empirical narratives about energy consumption, respectively informed the selection of control and dependent variables</w:t>
      </w:r>
      <w:r w:rsidRPr="0085125A">
        <w:t xml:space="preserve">. The data involved in this study include population growth, Industry (including construction), </w:t>
      </w:r>
      <w:r w:rsidR="00061622">
        <w:t>GDP growth</w:t>
      </w:r>
      <w:r w:rsidRPr="0085125A">
        <w:t xml:space="preserve"> (annual % growth), Foreign direct investment as percentage of GDP (FDI % GDP), Trade openness (summation of imports and exports to GDP) (ToT % GDP), Urban population (% of the total population), and Total Energy Consumption (TEFC).  </w:t>
      </w:r>
    </w:p>
    <w:p w14:paraId="2FDDA924" w14:textId="77777777" w:rsidR="002F73C0" w:rsidRDefault="002F73C0" w:rsidP="002A4FBC">
      <w:pPr>
        <w:spacing w:after="200" w:line="276" w:lineRule="auto"/>
        <w:jc w:val="both"/>
      </w:pPr>
    </w:p>
    <w:p w14:paraId="7F214EF1" w14:textId="77777777" w:rsidR="002F73C0" w:rsidRDefault="002F73C0" w:rsidP="002A4FBC">
      <w:pPr>
        <w:spacing w:after="200" w:line="276" w:lineRule="auto"/>
        <w:jc w:val="both"/>
      </w:pPr>
    </w:p>
    <w:p w14:paraId="2BAE3F21" w14:textId="77777777" w:rsidR="002F73C0" w:rsidRDefault="002F73C0" w:rsidP="002A4FBC">
      <w:pPr>
        <w:spacing w:after="200" w:line="276" w:lineRule="auto"/>
        <w:jc w:val="both"/>
      </w:pPr>
    </w:p>
    <w:p w14:paraId="3407F8A2" w14:textId="77777777" w:rsidR="002F73C0" w:rsidRDefault="002F73C0" w:rsidP="002A4FBC">
      <w:pPr>
        <w:spacing w:after="200" w:line="276" w:lineRule="auto"/>
        <w:jc w:val="both"/>
      </w:pPr>
    </w:p>
    <w:p w14:paraId="3D4F2D25" w14:textId="77777777" w:rsidR="002F73C0" w:rsidRDefault="002F73C0" w:rsidP="002A4FBC">
      <w:pPr>
        <w:spacing w:after="200" w:line="276" w:lineRule="auto"/>
        <w:jc w:val="both"/>
      </w:pPr>
    </w:p>
    <w:p w14:paraId="5163FA2D" w14:textId="34F363A6" w:rsidR="002A4FBC" w:rsidRPr="0085125A" w:rsidRDefault="002A4FBC" w:rsidP="002A4FBC">
      <w:pPr>
        <w:spacing w:after="200" w:line="276" w:lineRule="auto"/>
        <w:jc w:val="both"/>
      </w:pPr>
      <w:r w:rsidRPr="0085125A">
        <w:lastRenderedPageBreak/>
        <w:t>In table 3, 4. I report the summary statistics, the correlation m</w:t>
      </w:r>
      <w:r w:rsidR="000770B7">
        <w:t>atrix of the studied variables,</w:t>
      </w:r>
    </w:p>
    <w:tbl>
      <w:tblPr>
        <w:tblW w:w="8921" w:type="dxa"/>
        <w:tblLayout w:type="fixed"/>
        <w:tblLook w:val="0000" w:firstRow="0" w:lastRow="0" w:firstColumn="0" w:lastColumn="0" w:noHBand="0" w:noVBand="0"/>
      </w:tblPr>
      <w:tblGrid>
        <w:gridCol w:w="3276"/>
        <w:gridCol w:w="883"/>
        <w:gridCol w:w="2129"/>
        <w:gridCol w:w="1297"/>
        <w:gridCol w:w="1336"/>
      </w:tblGrid>
      <w:tr w:rsidR="002A4FBC" w:rsidRPr="0085125A" w14:paraId="251B71A8" w14:textId="77777777" w:rsidTr="002A4FBC">
        <w:tc>
          <w:tcPr>
            <w:tcW w:w="3276" w:type="dxa"/>
            <w:tcBorders>
              <w:top w:val="single" w:sz="4" w:space="0" w:color="auto"/>
              <w:left w:val="nil"/>
              <w:bottom w:val="nil"/>
              <w:right w:val="nil"/>
            </w:tcBorders>
          </w:tcPr>
          <w:p w14:paraId="038173A2" w14:textId="6EF4B1B3" w:rsidR="002A4FBC" w:rsidRPr="00CB21C7" w:rsidRDefault="002F73C0" w:rsidP="002F73C0">
            <w:pPr>
              <w:widowControl w:val="0"/>
              <w:autoSpaceDE w:val="0"/>
              <w:autoSpaceDN w:val="0"/>
              <w:adjustRightInd w:val="0"/>
              <w:jc w:val="both"/>
              <w:rPr>
                <w:b/>
              </w:rPr>
            </w:pPr>
            <w:r w:rsidRPr="00CB21C7">
              <w:rPr>
                <w:b/>
              </w:rPr>
              <w:t>Table 3: S</w:t>
            </w:r>
            <w:r w:rsidR="002A4FBC" w:rsidRPr="00CB21C7">
              <w:rPr>
                <w:b/>
              </w:rPr>
              <w:t>ummary Statistics</w:t>
            </w:r>
          </w:p>
        </w:tc>
        <w:tc>
          <w:tcPr>
            <w:tcW w:w="883" w:type="dxa"/>
            <w:tcBorders>
              <w:top w:val="single" w:sz="4" w:space="0" w:color="auto"/>
              <w:left w:val="nil"/>
              <w:bottom w:val="nil"/>
              <w:right w:val="nil"/>
            </w:tcBorders>
          </w:tcPr>
          <w:p w14:paraId="183DB4D1" w14:textId="77777777" w:rsidR="002A4FBC" w:rsidRPr="0085125A" w:rsidRDefault="002A4FBC" w:rsidP="002A4FBC">
            <w:pPr>
              <w:widowControl w:val="0"/>
              <w:autoSpaceDE w:val="0"/>
              <w:autoSpaceDN w:val="0"/>
              <w:adjustRightInd w:val="0"/>
              <w:jc w:val="both"/>
            </w:pPr>
          </w:p>
        </w:tc>
        <w:tc>
          <w:tcPr>
            <w:tcW w:w="2129" w:type="dxa"/>
            <w:tcBorders>
              <w:top w:val="single" w:sz="4" w:space="0" w:color="auto"/>
              <w:left w:val="nil"/>
              <w:bottom w:val="nil"/>
              <w:right w:val="nil"/>
            </w:tcBorders>
          </w:tcPr>
          <w:p w14:paraId="124E7ACA" w14:textId="77777777" w:rsidR="002A4FBC" w:rsidRPr="0085125A" w:rsidRDefault="002A4FBC" w:rsidP="002A4FBC">
            <w:pPr>
              <w:widowControl w:val="0"/>
              <w:autoSpaceDE w:val="0"/>
              <w:autoSpaceDN w:val="0"/>
              <w:adjustRightInd w:val="0"/>
              <w:jc w:val="both"/>
            </w:pPr>
          </w:p>
        </w:tc>
        <w:tc>
          <w:tcPr>
            <w:tcW w:w="1297" w:type="dxa"/>
            <w:tcBorders>
              <w:top w:val="single" w:sz="4" w:space="0" w:color="auto"/>
              <w:left w:val="nil"/>
              <w:bottom w:val="nil"/>
              <w:right w:val="nil"/>
            </w:tcBorders>
          </w:tcPr>
          <w:p w14:paraId="67C94816" w14:textId="77777777" w:rsidR="002A4FBC" w:rsidRPr="0085125A" w:rsidRDefault="002A4FBC" w:rsidP="002A4FBC">
            <w:pPr>
              <w:widowControl w:val="0"/>
              <w:autoSpaceDE w:val="0"/>
              <w:autoSpaceDN w:val="0"/>
              <w:adjustRightInd w:val="0"/>
              <w:jc w:val="both"/>
            </w:pPr>
          </w:p>
        </w:tc>
        <w:tc>
          <w:tcPr>
            <w:tcW w:w="1336" w:type="dxa"/>
            <w:tcBorders>
              <w:top w:val="single" w:sz="4" w:space="0" w:color="auto"/>
              <w:left w:val="nil"/>
              <w:bottom w:val="nil"/>
              <w:right w:val="nil"/>
            </w:tcBorders>
          </w:tcPr>
          <w:p w14:paraId="2FDF5061" w14:textId="77777777" w:rsidR="002A4FBC" w:rsidRPr="0085125A" w:rsidRDefault="002A4FBC" w:rsidP="002A4FBC">
            <w:pPr>
              <w:widowControl w:val="0"/>
              <w:autoSpaceDE w:val="0"/>
              <w:autoSpaceDN w:val="0"/>
              <w:adjustRightInd w:val="0"/>
              <w:jc w:val="both"/>
            </w:pPr>
          </w:p>
        </w:tc>
      </w:tr>
      <w:tr w:rsidR="002A4FBC" w:rsidRPr="0085125A" w14:paraId="2FDB4244" w14:textId="77777777" w:rsidTr="002A4FBC">
        <w:tc>
          <w:tcPr>
            <w:tcW w:w="3276" w:type="dxa"/>
            <w:tcBorders>
              <w:top w:val="single" w:sz="4" w:space="0" w:color="auto"/>
              <w:left w:val="nil"/>
              <w:bottom w:val="nil"/>
              <w:right w:val="nil"/>
            </w:tcBorders>
          </w:tcPr>
          <w:p w14:paraId="28E3FA65" w14:textId="77777777" w:rsidR="002A4FBC" w:rsidRPr="0085125A" w:rsidRDefault="002A4FBC" w:rsidP="002A4FBC">
            <w:pPr>
              <w:widowControl w:val="0"/>
              <w:autoSpaceDE w:val="0"/>
              <w:autoSpaceDN w:val="0"/>
              <w:adjustRightInd w:val="0"/>
              <w:jc w:val="both"/>
            </w:pPr>
          </w:p>
        </w:tc>
        <w:tc>
          <w:tcPr>
            <w:tcW w:w="883" w:type="dxa"/>
            <w:tcBorders>
              <w:top w:val="single" w:sz="4" w:space="0" w:color="auto"/>
              <w:left w:val="nil"/>
              <w:bottom w:val="nil"/>
              <w:right w:val="nil"/>
            </w:tcBorders>
          </w:tcPr>
          <w:p w14:paraId="4D09CFA7" w14:textId="77777777" w:rsidR="002A4FBC" w:rsidRPr="0085125A" w:rsidRDefault="002A4FBC" w:rsidP="002A4FBC">
            <w:pPr>
              <w:widowControl w:val="0"/>
              <w:autoSpaceDE w:val="0"/>
              <w:autoSpaceDN w:val="0"/>
              <w:adjustRightInd w:val="0"/>
              <w:jc w:val="both"/>
            </w:pPr>
          </w:p>
        </w:tc>
        <w:tc>
          <w:tcPr>
            <w:tcW w:w="2129" w:type="dxa"/>
            <w:tcBorders>
              <w:top w:val="single" w:sz="4" w:space="0" w:color="auto"/>
              <w:left w:val="nil"/>
              <w:bottom w:val="nil"/>
              <w:right w:val="nil"/>
            </w:tcBorders>
          </w:tcPr>
          <w:p w14:paraId="0C702724" w14:textId="77777777" w:rsidR="002A4FBC" w:rsidRPr="0085125A" w:rsidRDefault="002A4FBC" w:rsidP="002A4FBC">
            <w:pPr>
              <w:widowControl w:val="0"/>
              <w:autoSpaceDE w:val="0"/>
              <w:autoSpaceDN w:val="0"/>
              <w:adjustRightInd w:val="0"/>
              <w:jc w:val="both"/>
            </w:pPr>
          </w:p>
        </w:tc>
        <w:tc>
          <w:tcPr>
            <w:tcW w:w="1297" w:type="dxa"/>
            <w:tcBorders>
              <w:top w:val="single" w:sz="4" w:space="0" w:color="auto"/>
              <w:left w:val="nil"/>
              <w:bottom w:val="nil"/>
              <w:right w:val="nil"/>
            </w:tcBorders>
          </w:tcPr>
          <w:p w14:paraId="459A5204" w14:textId="77777777" w:rsidR="002A4FBC" w:rsidRPr="0085125A" w:rsidRDefault="002A4FBC" w:rsidP="002A4FBC">
            <w:pPr>
              <w:widowControl w:val="0"/>
              <w:autoSpaceDE w:val="0"/>
              <w:autoSpaceDN w:val="0"/>
              <w:adjustRightInd w:val="0"/>
              <w:jc w:val="both"/>
            </w:pPr>
          </w:p>
        </w:tc>
        <w:tc>
          <w:tcPr>
            <w:tcW w:w="1336" w:type="dxa"/>
            <w:tcBorders>
              <w:top w:val="single" w:sz="4" w:space="0" w:color="auto"/>
              <w:left w:val="nil"/>
              <w:bottom w:val="nil"/>
              <w:right w:val="nil"/>
            </w:tcBorders>
          </w:tcPr>
          <w:p w14:paraId="4C49374C" w14:textId="77777777" w:rsidR="002A4FBC" w:rsidRPr="0085125A" w:rsidRDefault="002A4FBC" w:rsidP="002A4FBC">
            <w:pPr>
              <w:widowControl w:val="0"/>
              <w:autoSpaceDE w:val="0"/>
              <w:autoSpaceDN w:val="0"/>
              <w:adjustRightInd w:val="0"/>
              <w:jc w:val="both"/>
            </w:pPr>
          </w:p>
        </w:tc>
      </w:tr>
      <w:tr w:rsidR="002A4FBC" w:rsidRPr="0085125A" w14:paraId="69764FB5" w14:textId="77777777" w:rsidTr="002A4FBC">
        <w:tc>
          <w:tcPr>
            <w:tcW w:w="3276" w:type="dxa"/>
            <w:tcBorders>
              <w:top w:val="nil"/>
              <w:left w:val="nil"/>
              <w:bottom w:val="nil"/>
              <w:right w:val="nil"/>
            </w:tcBorders>
          </w:tcPr>
          <w:p w14:paraId="0989F483" w14:textId="77777777" w:rsidR="002A4FBC" w:rsidRPr="0085125A" w:rsidRDefault="002A4FBC" w:rsidP="002A4FBC">
            <w:pPr>
              <w:widowControl w:val="0"/>
              <w:autoSpaceDE w:val="0"/>
              <w:autoSpaceDN w:val="0"/>
              <w:adjustRightInd w:val="0"/>
              <w:jc w:val="both"/>
            </w:pPr>
          </w:p>
        </w:tc>
        <w:tc>
          <w:tcPr>
            <w:tcW w:w="883" w:type="dxa"/>
            <w:tcBorders>
              <w:top w:val="nil"/>
              <w:left w:val="nil"/>
              <w:bottom w:val="nil"/>
              <w:right w:val="nil"/>
            </w:tcBorders>
          </w:tcPr>
          <w:p w14:paraId="0C75F5D9" w14:textId="77777777" w:rsidR="002A4FBC" w:rsidRPr="0085125A" w:rsidRDefault="002A4FBC" w:rsidP="002A4FBC">
            <w:pPr>
              <w:widowControl w:val="0"/>
              <w:autoSpaceDE w:val="0"/>
              <w:autoSpaceDN w:val="0"/>
              <w:adjustRightInd w:val="0"/>
              <w:jc w:val="both"/>
            </w:pPr>
            <w:r w:rsidRPr="0085125A">
              <w:t>Mean</w:t>
            </w:r>
          </w:p>
        </w:tc>
        <w:tc>
          <w:tcPr>
            <w:tcW w:w="2129" w:type="dxa"/>
            <w:tcBorders>
              <w:top w:val="nil"/>
              <w:left w:val="nil"/>
              <w:bottom w:val="nil"/>
              <w:right w:val="nil"/>
            </w:tcBorders>
          </w:tcPr>
          <w:p w14:paraId="24653869" w14:textId="77777777" w:rsidR="002A4FBC" w:rsidRPr="0085125A" w:rsidRDefault="002A4FBC" w:rsidP="002A4FBC">
            <w:pPr>
              <w:widowControl w:val="0"/>
              <w:autoSpaceDE w:val="0"/>
              <w:autoSpaceDN w:val="0"/>
              <w:adjustRightInd w:val="0"/>
              <w:jc w:val="both"/>
            </w:pPr>
            <w:r w:rsidRPr="0085125A">
              <w:t>Standard Deviation</w:t>
            </w:r>
          </w:p>
        </w:tc>
        <w:tc>
          <w:tcPr>
            <w:tcW w:w="1297" w:type="dxa"/>
            <w:tcBorders>
              <w:top w:val="nil"/>
              <w:left w:val="nil"/>
              <w:bottom w:val="nil"/>
              <w:right w:val="nil"/>
            </w:tcBorders>
          </w:tcPr>
          <w:p w14:paraId="5A31DEEC" w14:textId="77777777" w:rsidR="002A4FBC" w:rsidRPr="0085125A" w:rsidRDefault="002A4FBC" w:rsidP="002A4FBC">
            <w:pPr>
              <w:widowControl w:val="0"/>
              <w:autoSpaceDE w:val="0"/>
              <w:autoSpaceDN w:val="0"/>
              <w:adjustRightInd w:val="0"/>
              <w:jc w:val="both"/>
            </w:pPr>
            <w:r w:rsidRPr="0085125A">
              <w:t>Minimum</w:t>
            </w:r>
          </w:p>
        </w:tc>
        <w:tc>
          <w:tcPr>
            <w:tcW w:w="1336" w:type="dxa"/>
            <w:tcBorders>
              <w:top w:val="nil"/>
              <w:left w:val="nil"/>
              <w:bottom w:val="nil"/>
              <w:right w:val="nil"/>
            </w:tcBorders>
          </w:tcPr>
          <w:p w14:paraId="4641E837" w14:textId="77777777" w:rsidR="002A4FBC" w:rsidRPr="0085125A" w:rsidRDefault="002A4FBC" w:rsidP="002A4FBC">
            <w:pPr>
              <w:widowControl w:val="0"/>
              <w:autoSpaceDE w:val="0"/>
              <w:autoSpaceDN w:val="0"/>
              <w:adjustRightInd w:val="0"/>
              <w:jc w:val="both"/>
            </w:pPr>
            <w:r w:rsidRPr="0085125A">
              <w:t>Maximum</w:t>
            </w:r>
          </w:p>
        </w:tc>
      </w:tr>
      <w:tr w:rsidR="002A4FBC" w:rsidRPr="0085125A" w14:paraId="71F79B1E" w14:textId="77777777" w:rsidTr="002A4FBC">
        <w:tc>
          <w:tcPr>
            <w:tcW w:w="3276" w:type="dxa"/>
            <w:tcBorders>
              <w:top w:val="single" w:sz="4" w:space="0" w:color="auto"/>
              <w:left w:val="nil"/>
              <w:bottom w:val="nil"/>
              <w:right w:val="nil"/>
            </w:tcBorders>
          </w:tcPr>
          <w:p w14:paraId="7ADCC8C3" w14:textId="77777777" w:rsidR="002A4FBC" w:rsidRPr="0085125A" w:rsidRDefault="002A4FBC" w:rsidP="002A4FBC">
            <w:pPr>
              <w:widowControl w:val="0"/>
              <w:autoSpaceDE w:val="0"/>
              <w:autoSpaceDN w:val="0"/>
              <w:adjustRightInd w:val="0"/>
              <w:jc w:val="both"/>
            </w:pPr>
            <w:r w:rsidRPr="0085125A">
              <w:t>TFEC</w:t>
            </w:r>
            <w:r w:rsidRPr="0085125A">
              <w:rPr>
                <w:vertAlign w:val="superscript"/>
              </w:rPr>
              <w:footnoteReference w:id="2"/>
            </w:r>
          </w:p>
        </w:tc>
        <w:tc>
          <w:tcPr>
            <w:tcW w:w="883" w:type="dxa"/>
            <w:tcBorders>
              <w:top w:val="single" w:sz="4" w:space="0" w:color="auto"/>
              <w:left w:val="nil"/>
              <w:bottom w:val="nil"/>
              <w:right w:val="nil"/>
            </w:tcBorders>
          </w:tcPr>
          <w:p w14:paraId="030EE445" w14:textId="77777777" w:rsidR="002A4FBC" w:rsidRPr="0085125A" w:rsidRDefault="002A4FBC" w:rsidP="002A4FBC">
            <w:pPr>
              <w:widowControl w:val="0"/>
              <w:autoSpaceDE w:val="0"/>
              <w:autoSpaceDN w:val="0"/>
              <w:adjustRightInd w:val="0"/>
              <w:jc w:val="both"/>
            </w:pPr>
            <w:r w:rsidRPr="0085125A">
              <w:t>6329.2</w:t>
            </w:r>
          </w:p>
        </w:tc>
        <w:tc>
          <w:tcPr>
            <w:tcW w:w="2129" w:type="dxa"/>
            <w:tcBorders>
              <w:top w:val="single" w:sz="4" w:space="0" w:color="auto"/>
              <w:left w:val="nil"/>
              <w:bottom w:val="nil"/>
              <w:right w:val="nil"/>
            </w:tcBorders>
          </w:tcPr>
          <w:p w14:paraId="6D57CF41" w14:textId="77777777" w:rsidR="002A4FBC" w:rsidRPr="0085125A" w:rsidRDefault="002A4FBC" w:rsidP="002A4FBC">
            <w:pPr>
              <w:widowControl w:val="0"/>
              <w:autoSpaceDE w:val="0"/>
              <w:autoSpaceDN w:val="0"/>
              <w:adjustRightInd w:val="0"/>
              <w:jc w:val="both"/>
            </w:pPr>
            <w:r w:rsidRPr="0085125A">
              <w:t>17402.27</w:t>
            </w:r>
          </w:p>
        </w:tc>
        <w:tc>
          <w:tcPr>
            <w:tcW w:w="1297" w:type="dxa"/>
            <w:tcBorders>
              <w:top w:val="single" w:sz="4" w:space="0" w:color="auto"/>
              <w:left w:val="nil"/>
              <w:bottom w:val="nil"/>
              <w:right w:val="nil"/>
            </w:tcBorders>
          </w:tcPr>
          <w:p w14:paraId="5CB6E68D" w14:textId="77777777" w:rsidR="002A4FBC" w:rsidRPr="0085125A" w:rsidRDefault="002A4FBC" w:rsidP="002A4FBC">
            <w:pPr>
              <w:widowControl w:val="0"/>
              <w:autoSpaceDE w:val="0"/>
              <w:autoSpaceDN w:val="0"/>
              <w:adjustRightInd w:val="0"/>
              <w:jc w:val="both"/>
            </w:pPr>
            <w:r w:rsidRPr="0085125A">
              <w:t>29724.3</w:t>
            </w:r>
          </w:p>
        </w:tc>
        <w:tc>
          <w:tcPr>
            <w:tcW w:w="1336" w:type="dxa"/>
            <w:tcBorders>
              <w:top w:val="single" w:sz="4" w:space="0" w:color="auto"/>
              <w:left w:val="nil"/>
              <w:bottom w:val="nil"/>
              <w:right w:val="nil"/>
            </w:tcBorders>
          </w:tcPr>
          <w:p w14:paraId="6FB79C64" w14:textId="77777777" w:rsidR="002A4FBC" w:rsidRPr="0085125A" w:rsidRDefault="002A4FBC" w:rsidP="002A4FBC">
            <w:pPr>
              <w:widowControl w:val="0"/>
              <w:autoSpaceDE w:val="0"/>
              <w:autoSpaceDN w:val="0"/>
              <w:adjustRightInd w:val="0"/>
              <w:jc w:val="both"/>
            </w:pPr>
            <w:r w:rsidRPr="0085125A">
              <w:t>89798.7</w:t>
            </w:r>
          </w:p>
        </w:tc>
      </w:tr>
      <w:tr w:rsidR="002A4FBC" w:rsidRPr="0085125A" w14:paraId="48444D07" w14:textId="77777777" w:rsidTr="002A4FBC">
        <w:tc>
          <w:tcPr>
            <w:tcW w:w="3276" w:type="dxa"/>
            <w:tcBorders>
              <w:top w:val="nil"/>
              <w:left w:val="nil"/>
              <w:bottom w:val="nil"/>
              <w:right w:val="nil"/>
            </w:tcBorders>
          </w:tcPr>
          <w:p w14:paraId="4306B23A" w14:textId="77777777" w:rsidR="002A4FBC" w:rsidRPr="0085125A" w:rsidRDefault="002A4FBC" w:rsidP="002A4FBC">
            <w:pPr>
              <w:widowControl w:val="0"/>
              <w:autoSpaceDE w:val="0"/>
              <w:autoSpaceDN w:val="0"/>
              <w:adjustRightInd w:val="0"/>
              <w:jc w:val="both"/>
            </w:pPr>
            <w:r w:rsidRPr="0085125A">
              <w:t>GDP per capita</w:t>
            </w:r>
          </w:p>
        </w:tc>
        <w:tc>
          <w:tcPr>
            <w:tcW w:w="883" w:type="dxa"/>
            <w:tcBorders>
              <w:top w:val="nil"/>
              <w:left w:val="nil"/>
              <w:bottom w:val="nil"/>
              <w:right w:val="nil"/>
            </w:tcBorders>
          </w:tcPr>
          <w:p w14:paraId="72F03D4C" w14:textId="77777777" w:rsidR="002A4FBC" w:rsidRPr="0085125A" w:rsidRDefault="002A4FBC" w:rsidP="002A4FBC">
            <w:pPr>
              <w:widowControl w:val="0"/>
              <w:autoSpaceDE w:val="0"/>
              <w:autoSpaceDN w:val="0"/>
              <w:adjustRightInd w:val="0"/>
              <w:jc w:val="both"/>
            </w:pPr>
            <w:r w:rsidRPr="0085125A">
              <w:t>531.6</w:t>
            </w:r>
          </w:p>
        </w:tc>
        <w:tc>
          <w:tcPr>
            <w:tcW w:w="2129" w:type="dxa"/>
            <w:tcBorders>
              <w:top w:val="nil"/>
              <w:left w:val="nil"/>
              <w:bottom w:val="nil"/>
              <w:right w:val="nil"/>
            </w:tcBorders>
          </w:tcPr>
          <w:p w14:paraId="056C91D6" w14:textId="77777777" w:rsidR="002A4FBC" w:rsidRPr="0085125A" w:rsidRDefault="002A4FBC" w:rsidP="002A4FBC">
            <w:pPr>
              <w:widowControl w:val="0"/>
              <w:autoSpaceDE w:val="0"/>
              <w:autoSpaceDN w:val="0"/>
              <w:adjustRightInd w:val="0"/>
              <w:jc w:val="both"/>
            </w:pPr>
            <w:r w:rsidRPr="0085125A">
              <w:t>197.17</w:t>
            </w:r>
          </w:p>
        </w:tc>
        <w:tc>
          <w:tcPr>
            <w:tcW w:w="1297" w:type="dxa"/>
            <w:tcBorders>
              <w:top w:val="nil"/>
              <w:left w:val="nil"/>
              <w:bottom w:val="nil"/>
              <w:right w:val="nil"/>
            </w:tcBorders>
          </w:tcPr>
          <w:p w14:paraId="312370B8" w14:textId="77777777" w:rsidR="002A4FBC" w:rsidRPr="0085125A" w:rsidRDefault="002A4FBC" w:rsidP="002A4FBC">
            <w:pPr>
              <w:widowControl w:val="0"/>
              <w:autoSpaceDE w:val="0"/>
              <w:autoSpaceDN w:val="0"/>
              <w:adjustRightInd w:val="0"/>
              <w:jc w:val="both"/>
            </w:pPr>
            <w:r w:rsidRPr="0085125A">
              <w:t>215.75</w:t>
            </w:r>
          </w:p>
        </w:tc>
        <w:tc>
          <w:tcPr>
            <w:tcW w:w="1336" w:type="dxa"/>
            <w:tcBorders>
              <w:top w:val="nil"/>
              <w:left w:val="nil"/>
              <w:bottom w:val="nil"/>
              <w:right w:val="nil"/>
            </w:tcBorders>
          </w:tcPr>
          <w:p w14:paraId="37A8229A" w14:textId="77777777" w:rsidR="002A4FBC" w:rsidRPr="0085125A" w:rsidRDefault="002A4FBC" w:rsidP="002A4FBC">
            <w:pPr>
              <w:widowControl w:val="0"/>
              <w:autoSpaceDE w:val="0"/>
              <w:autoSpaceDN w:val="0"/>
              <w:adjustRightInd w:val="0"/>
              <w:jc w:val="both"/>
            </w:pPr>
            <w:r w:rsidRPr="0085125A">
              <w:t>902.61</w:t>
            </w:r>
          </w:p>
        </w:tc>
      </w:tr>
      <w:tr w:rsidR="002A4FBC" w:rsidRPr="0085125A" w14:paraId="573735E3" w14:textId="77777777" w:rsidTr="002A4FBC">
        <w:tc>
          <w:tcPr>
            <w:tcW w:w="3276" w:type="dxa"/>
            <w:tcBorders>
              <w:top w:val="nil"/>
              <w:left w:val="nil"/>
              <w:bottom w:val="nil"/>
              <w:right w:val="nil"/>
            </w:tcBorders>
          </w:tcPr>
          <w:p w14:paraId="7F4BF2A3" w14:textId="77777777" w:rsidR="002A4FBC" w:rsidRPr="0085125A" w:rsidRDefault="002A4FBC" w:rsidP="002A4FBC">
            <w:pPr>
              <w:widowControl w:val="0"/>
              <w:autoSpaceDE w:val="0"/>
              <w:autoSpaceDN w:val="0"/>
              <w:adjustRightInd w:val="0"/>
              <w:jc w:val="both"/>
            </w:pPr>
            <w:r w:rsidRPr="0085125A">
              <w:t>Industrialization</w:t>
            </w:r>
          </w:p>
        </w:tc>
        <w:tc>
          <w:tcPr>
            <w:tcW w:w="883" w:type="dxa"/>
            <w:tcBorders>
              <w:top w:val="nil"/>
              <w:left w:val="nil"/>
              <w:bottom w:val="nil"/>
              <w:right w:val="nil"/>
            </w:tcBorders>
          </w:tcPr>
          <w:p w14:paraId="1FA8430A" w14:textId="77777777" w:rsidR="002A4FBC" w:rsidRPr="0085125A" w:rsidRDefault="002A4FBC" w:rsidP="002A4FBC">
            <w:pPr>
              <w:widowControl w:val="0"/>
              <w:autoSpaceDE w:val="0"/>
              <w:autoSpaceDN w:val="0"/>
              <w:adjustRightInd w:val="0"/>
              <w:jc w:val="both"/>
            </w:pPr>
            <w:r w:rsidRPr="0085125A">
              <w:t>7.13</w:t>
            </w:r>
          </w:p>
        </w:tc>
        <w:tc>
          <w:tcPr>
            <w:tcW w:w="2129" w:type="dxa"/>
            <w:tcBorders>
              <w:top w:val="nil"/>
              <w:left w:val="nil"/>
              <w:bottom w:val="nil"/>
              <w:right w:val="nil"/>
            </w:tcBorders>
          </w:tcPr>
          <w:p w14:paraId="152098CC" w14:textId="77777777" w:rsidR="002A4FBC" w:rsidRPr="0085125A" w:rsidRDefault="002A4FBC" w:rsidP="002A4FBC">
            <w:pPr>
              <w:widowControl w:val="0"/>
              <w:autoSpaceDE w:val="0"/>
              <w:autoSpaceDN w:val="0"/>
              <w:adjustRightInd w:val="0"/>
              <w:jc w:val="both"/>
            </w:pPr>
            <w:r w:rsidRPr="0085125A">
              <w:t>17,89</w:t>
            </w:r>
          </w:p>
        </w:tc>
        <w:tc>
          <w:tcPr>
            <w:tcW w:w="1297" w:type="dxa"/>
            <w:tcBorders>
              <w:top w:val="nil"/>
              <w:left w:val="nil"/>
              <w:bottom w:val="nil"/>
              <w:right w:val="nil"/>
            </w:tcBorders>
          </w:tcPr>
          <w:p w14:paraId="1E928C80" w14:textId="77777777" w:rsidR="002A4FBC" w:rsidRPr="0085125A" w:rsidRDefault="002A4FBC" w:rsidP="002A4FBC">
            <w:pPr>
              <w:widowControl w:val="0"/>
              <w:autoSpaceDE w:val="0"/>
              <w:autoSpaceDN w:val="0"/>
              <w:adjustRightInd w:val="0"/>
              <w:jc w:val="both"/>
            </w:pPr>
            <w:r w:rsidRPr="0085125A">
              <w:t>-65.34</w:t>
            </w:r>
          </w:p>
        </w:tc>
        <w:tc>
          <w:tcPr>
            <w:tcW w:w="1336" w:type="dxa"/>
            <w:tcBorders>
              <w:top w:val="nil"/>
              <w:left w:val="nil"/>
              <w:bottom w:val="nil"/>
              <w:right w:val="nil"/>
            </w:tcBorders>
          </w:tcPr>
          <w:p w14:paraId="7724BB6D" w14:textId="77777777" w:rsidR="002A4FBC" w:rsidRPr="0085125A" w:rsidRDefault="002A4FBC" w:rsidP="002A4FBC">
            <w:pPr>
              <w:widowControl w:val="0"/>
              <w:autoSpaceDE w:val="0"/>
              <w:autoSpaceDN w:val="0"/>
              <w:adjustRightInd w:val="0"/>
              <w:jc w:val="both"/>
            </w:pPr>
            <w:r w:rsidRPr="0085125A">
              <w:t>48.39</w:t>
            </w:r>
          </w:p>
        </w:tc>
      </w:tr>
      <w:tr w:rsidR="002A4FBC" w:rsidRPr="0085125A" w14:paraId="0C1D51AE" w14:textId="77777777" w:rsidTr="002A4FBC">
        <w:tc>
          <w:tcPr>
            <w:tcW w:w="3276" w:type="dxa"/>
            <w:tcBorders>
              <w:top w:val="nil"/>
              <w:left w:val="nil"/>
              <w:bottom w:val="nil"/>
              <w:right w:val="nil"/>
            </w:tcBorders>
          </w:tcPr>
          <w:p w14:paraId="7C1B37E1" w14:textId="77777777" w:rsidR="002A4FBC" w:rsidRPr="0085125A" w:rsidRDefault="002A4FBC" w:rsidP="002A4FBC">
            <w:pPr>
              <w:widowControl w:val="0"/>
              <w:autoSpaceDE w:val="0"/>
              <w:autoSpaceDN w:val="0"/>
              <w:adjustRightInd w:val="0"/>
              <w:jc w:val="both"/>
            </w:pPr>
            <w:r w:rsidRPr="0085125A">
              <w:t xml:space="preserve">Foreign Direct investment  </w:t>
            </w:r>
          </w:p>
        </w:tc>
        <w:tc>
          <w:tcPr>
            <w:tcW w:w="883" w:type="dxa"/>
            <w:tcBorders>
              <w:top w:val="nil"/>
              <w:left w:val="nil"/>
              <w:bottom w:val="nil"/>
              <w:right w:val="nil"/>
            </w:tcBorders>
          </w:tcPr>
          <w:p w14:paraId="3B3B9A97" w14:textId="77777777" w:rsidR="002A4FBC" w:rsidRPr="0085125A" w:rsidRDefault="002A4FBC" w:rsidP="002A4FBC">
            <w:pPr>
              <w:widowControl w:val="0"/>
              <w:autoSpaceDE w:val="0"/>
              <w:autoSpaceDN w:val="0"/>
              <w:adjustRightInd w:val="0"/>
              <w:jc w:val="both"/>
            </w:pPr>
            <w:r w:rsidRPr="0085125A">
              <w:t>1.29</w:t>
            </w:r>
          </w:p>
        </w:tc>
        <w:tc>
          <w:tcPr>
            <w:tcW w:w="2129" w:type="dxa"/>
            <w:tcBorders>
              <w:top w:val="nil"/>
              <w:left w:val="nil"/>
              <w:bottom w:val="nil"/>
              <w:right w:val="nil"/>
            </w:tcBorders>
          </w:tcPr>
          <w:p w14:paraId="78A66366" w14:textId="77777777" w:rsidR="002A4FBC" w:rsidRPr="0085125A" w:rsidRDefault="002A4FBC" w:rsidP="002A4FBC">
            <w:pPr>
              <w:widowControl w:val="0"/>
              <w:autoSpaceDE w:val="0"/>
              <w:autoSpaceDN w:val="0"/>
              <w:adjustRightInd w:val="0"/>
              <w:jc w:val="both"/>
            </w:pPr>
            <w:r w:rsidRPr="0085125A">
              <w:t>1.35</w:t>
            </w:r>
          </w:p>
        </w:tc>
        <w:tc>
          <w:tcPr>
            <w:tcW w:w="1297" w:type="dxa"/>
            <w:tcBorders>
              <w:top w:val="nil"/>
              <w:left w:val="nil"/>
              <w:bottom w:val="nil"/>
              <w:right w:val="nil"/>
            </w:tcBorders>
          </w:tcPr>
          <w:p w14:paraId="22404A60" w14:textId="77777777" w:rsidR="002A4FBC" w:rsidRPr="0085125A" w:rsidRDefault="002A4FBC" w:rsidP="002A4FBC">
            <w:pPr>
              <w:widowControl w:val="0"/>
              <w:autoSpaceDE w:val="0"/>
              <w:autoSpaceDN w:val="0"/>
              <w:adjustRightInd w:val="0"/>
              <w:jc w:val="both"/>
            </w:pPr>
            <w:r w:rsidRPr="0085125A">
              <w:t>-0.57</w:t>
            </w:r>
          </w:p>
        </w:tc>
        <w:tc>
          <w:tcPr>
            <w:tcW w:w="1336" w:type="dxa"/>
            <w:tcBorders>
              <w:top w:val="nil"/>
              <w:left w:val="nil"/>
              <w:bottom w:val="nil"/>
              <w:right w:val="nil"/>
            </w:tcBorders>
          </w:tcPr>
          <w:p w14:paraId="17720458" w14:textId="77777777" w:rsidR="002A4FBC" w:rsidRPr="0085125A" w:rsidRDefault="002A4FBC" w:rsidP="002A4FBC">
            <w:pPr>
              <w:widowControl w:val="0"/>
              <w:autoSpaceDE w:val="0"/>
              <w:autoSpaceDN w:val="0"/>
              <w:adjustRightInd w:val="0"/>
              <w:jc w:val="both"/>
            </w:pPr>
            <w:r w:rsidRPr="0085125A">
              <w:t>3.81</w:t>
            </w:r>
          </w:p>
        </w:tc>
      </w:tr>
      <w:tr w:rsidR="002A4FBC" w:rsidRPr="0085125A" w14:paraId="72BF2639" w14:textId="77777777" w:rsidTr="002A4FBC">
        <w:tc>
          <w:tcPr>
            <w:tcW w:w="3276" w:type="dxa"/>
            <w:tcBorders>
              <w:top w:val="nil"/>
              <w:left w:val="nil"/>
              <w:bottom w:val="nil"/>
              <w:right w:val="nil"/>
            </w:tcBorders>
          </w:tcPr>
          <w:p w14:paraId="5BD32C0B" w14:textId="77777777" w:rsidR="002A4FBC" w:rsidRPr="0085125A" w:rsidRDefault="002A4FBC" w:rsidP="002A4FBC">
            <w:pPr>
              <w:widowControl w:val="0"/>
              <w:autoSpaceDE w:val="0"/>
              <w:autoSpaceDN w:val="0"/>
              <w:adjustRightInd w:val="0"/>
              <w:jc w:val="both"/>
            </w:pPr>
            <w:r w:rsidRPr="0085125A">
              <w:t>POP</w:t>
            </w:r>
          </w:p>
        </w:tc>
        <w:tc>
          <w:tcPr>
            <w:tcW w:w="883" w:type="dxa"/>
            <w:tcBorders>
              <w:top w:val="nil"/>
              <w:left w:val="nil"/>
              <w:bottom w:val="nil"/>
              <w:right w:val="nil"/>
            </w:tcBorders>
          </w:tcPr>
          <w:p w14:paraId="4F4D85CD" w14:textId="77777777" w:rsidR="002A4FBC" w:rsidRPr="0085125A" w:rsidRDefault="002A4FBC" w:rsidP="002A4FBC">
            <w:pPr>
              <w:widowControl w:val="0"/>
              <w:autoSpaceDE w:val="0"/>
              <w:autoSpaceDN w:val="0"/>
              <w:adjustRightInd w:val="0"/>
              <w:jc w:val="both"/>
            </w:pPr>
            <w:r w:rsidRPr="0085125A">
              <w:t>1.87</w:t>
            </w:r>
          </w:p>
        </w:tc>
        <w:tc>
          <w:tcPr>
            <w:tcW w:w="2129" w:type="dxa"/>
            <w:tcBorders>
              <w:top w:val="nil"/>
              <w:left w:val="nil"/>
              <w:bottom w:val="nil"/>
              <w:right w:val="nil"/>
            </w:tcBorders>
          </w:tcPr>
          <w:p w14:paraId="6C12E136" w14:textId="77777777" w:rsidR="002A4FBC" w:rsidRPr="0085125A" w:rsidRDefault="002A4FBC" w:rsidP="002A4FBC">
            <w:pPr>
              <w:widowControl w:val="0"/>
              <w:autoSpaceDE w:val="0"/>
              <w:autoSpaceDN w:val="0"/>
              <w:adjustRightInd w:val="0"/>
              <w:jc w:val="both"/>
            </w:pPr>
            <w:r w:rsidRPr="0085125A">
              <w:t>3.3</w:t>
            </w:r>
          </w:p>
        </w:tc>
        <w:tc>
          <w:tcPr>
            <w:tcW w:w="1297" w:type="dxa"/>
            <w:tcBorders>
              <w:top w:val="nil"/>
              <w:left w:val="nil"/>
              <w:bottom w:val="nil"/>
              <w:right w:val="nil"/>
            </w:tcBorders>
          </w:tcPr>
          <w:p w14:paraId="2B56C95B" w14:textId="77777777" w:rsidR="002A4FBC" w:rsidRPr="0085125A" w:rsidRDefault="002A4FBC" w:rsidP="002A4FBC">
            <w:pPr>
              <w:widowControl w:val="0"/>
              <w:autoSpaceDE w:val="0"/>
              <w:autoSpaceDN w:val="0"/>
              <w:adjustRightInd w:val="0"/>
              <w:jc w:val="both"/>
            </w:pPr>
            <w:r w:rsidRPr="0085125A">
              <w:t>-6.76</w:t>
            </w:r>
          </w:p>
        </w:tc>
        <w:tc>
          <w:tcPr>
            <w:tcW w:w="1336" w:type="dxa"/>
            <w:tcBorders>
              <w:top w:val="nil"/>
              <w:left w:val="nil"/>
              <w:bottom w:val="nil"/>
              <w:right w:val="nil"/>
            </w:tcBorders>
          </w:tcPr>
          <w:p w14:paraId="3B7781E6" w14:textId="77777777" w:rsidR="002A4FBC" w:rsidRPr="0085125A" w:rsidRDefault="002A4FBC" w:rsidP="002A4FBC">
            <w:pPr>
              <w:widowControl w:val="0"/>
              <w:autoSpaceDE w:val="0"/>
              <w:autoSpaceDN w:val="0"/>
              <w:adjustRightInd w:val="0"/>
              <w:jc w:val="both"/>
            </w:pPr>
            <w:r w:rsidRPr="0085125A">
              <w:t>8.11</w:t>
            </w:r>
          </w:p>
        </w:tc>
      </w:tr>
      <w:tr w:rsidR="002A4FBC" w:rsidRPr="0085125A" w14:paraId="6B74BDA5" w14:textId="77777777" w:rsidTr="002A4FBC">
        <w:tc>
          <w:tcPr>
            <w:tcW w:w="3276" w:type="dxa"/>
            <w:tcBorders>
              <w:top w:val="nil"/>
              <w:left w:val="nil"/>
              <w:bottom w:val="nil"/>
              <w:right w:val="nil"/>
            </w:tcBorders>
          </w:tcPr>
          <w:p w14:paraId="2A2A5876" w14:textId="77777777" w:rsidR="002A4FBC" w:rsidRPr="0085125A" w:rsidRDefault="002A4FBC" w:rsidP="002A4FBC">
            <w:pPr>
              <w:widowControl w:val="0"/>
              <w:autoSpaceDE w:val="0"/>
              <w:autoSpaceDN w:val="0"/>
              <w:adjustRightInd w:val="0"/>
              <w:jc w:val="both"/>
            </w:pPr>
            <w:r w:rsidRPr="0085125A">
              <w:t>Trade openness</w:t>
            </w:r>
          </w:p>
        </w:tc>
        <w:tc>
          <w:tcPr>
            <w:tcW w:w="883" w:type="dxa"/>
            <w:tcBorders>
              <w:top w:val="nil"/>
              <w:left w:val="nil"/>
              <w:bottom w:val="nil"/>
              <w:right w:val="nil"/>
            </w:tcBorders>
          </w:tcPr>
          <w:p w14:paraId="3590752B" w14:textId="4D06FDC4" w:rsidR="002A4FBC" w:rsidRPr="0085125A" w:rsidRDefault="00B83FB1" w:rsidP="002A4FBC">
            <w:pPr>
              <w:widowControl w:val="0"/>
              <w:autoSpaceDE w:val="0"/>
              <w:autoSpaceDN w:val="0"/>
              <w:adjustRightInd w:val="0"/>
              <w:jc w:val="both"/>
            </w:pPr>
            <w:r w:rsidRPr="0085125A">
              <w:t>33.19</w:t>
            </w:r>
          </w:p>
        </w:tc>
        <w:tc>
          <w:tcPr>
            <w:tcW w:w="2129" w:type="dxa"/>
            <w:tcBorders>
              <w:top w:val="nil"/>
              <w:left w:val="nil"/>
              <w:bottom w:val="nil"/>
              <w:right w:val="nil"/>
            </w:tcBorders>
          </w:tcPr>
          <w:p w14:paraId="01EBC559" w14:textId="2920ADF9" w:rsidR="002A4FBC" w:rsidRPr="0085125A" w:rsidRDefault="00B83FB1" w:rsidP="00B83FB1">
            <w:pPr>
              <w:widowControl w:val="0"/>
              <w:autoSpaceDE w:val="0"/>
              <w:autoSpaceDN w:val="0"/>
              <w:adjustRightInd w:val="0"/>
              <w:jc w:val="both"/>
            </w:pPr>
            <w:r w:rsidRPr="0085125A">
              <w:t>12.19</w:t>
            </w:r>
          </w:p>
        </w:tc>
        <w:tc>
          <w:tcPr>
            <w:tcW w:w="1297" w:type="dxa"/>
            <w:tcBorders>
              <w:top w:val="nil"/>
              <w:left w:val="nil"/>
              <w:bottom w:val="nil"/>
              <w:right w:val="nil"/>
            </w:tcBorders>
          </w:tcPr>
          <w:p w14:paraId="4CFE88D3" w14:textId="1393D275" w:rsidR="002A4FBC" w:rsidRPr="0085125A" w:rsidRDefault="00B83FB1" w:rsidP="00B83FB1">
            <w:pPr>
              <w:widowControl w:val="0"/>
              <w:autoSpaceDE w:val="0"/>
              <w:autoSpaceDN w:val="0"/>
              <w:adjustRightInd w:val="0"/>
              <w:jc w:val="both"/>
            </w:pPr>
            <w:r w:rsidRPr="0085125A">
              <w:t>13.94</w:t>
            </w:r>
          </w:p>
        </w:tc>
        <w:tc>
          <w:tcPr>
            <w:tcW w:w="1336" w:type="dxa"/>
            <w:tcBorders>
              <w:top w:val="nil"/>
              <w:left w:val="nil"/>
              <w:bottom w:val="nil"/>
              <w:right w:val="nil"/>
            </w:tcBorders>
          </w:tcPr>
          <w:p w14:paraId="5BD3E7E9" w14:textId="0B62CD45" w:rsidR="002A4FBC" w:rsidRPr="0085125A" w:rsidRDefault="00B83FB1" w:rsidP="00B83FB1">
            <w:pPr>
              <w:widowControl w:val="0"/>
              <w:autoSpaceDE w:val="0"/>
              <w:autoSpaceDN w:val="0"/>
              <w:adjustRightInd w:val="0"/>
              <w:jc w:val="both"/>
            </w:pPr>
            <w:r w:rsidRPr="0085125A">
              <w:t>57.11</w:t>
            </w:r>
          </w:p>
        </w:tc>
      </w:tr>
      <w:tr w:rsidR="002A4FBC" w:rsidRPr="0085125A" w14:paraId="5CD34EF8" w14:textId="77777777" w:rsidTr="002A4FBC">
        <w:tc>
          <w:tcPr>
            <w:tcW w:w="3276" w:type="dxa"/>
            <w:tcBorders>
              <w:top w:val="nil"/>
              <w:left w:val="nil"/>
              <w:bottom w:val="single" w:sz="4" w:space="0" w:color="auto"/>
              <w:right w:val="nil"/>
            </w:tcBorders>
          </w:tcPr>
          <w:p w14:paraId="789C4146" w14:textId="77777777" w:rsidR="002A4FBC" w:rsidRPr="0085125A" w:rsidRDefault="002A4FBC" w:rsidP="002A4FBC">
            <w:pPr>
              <w:widowControl w:val="0"/>
              <w:autoSpaceDE w:val="0"/>
              <w:autoSpaceDN w:val="0"/>
              <w:adjustRightInd w:val="0"/>
              <w:jc w:val="both"/>
            </w:pPr>
            <w:r w:rsidRPr="0085125A">
              <w:t>Urbanization</w:t>
            </w:r>
          </w:p>
        </w:tc>
        <w:tc>
          <w:tcPr>
            <w:tcW w:w="883" w:type="dxa"/>
            <w:tcBorders>
              <w:top w:val="nil"/>
              <w:left w:val="nil"/>
              <w:bottom w:val="single" w:sz="4" w:space="0" w:color="auto"/>
              <w:right w:val="nil"/>
            </w:tcBorders>
          </w:tcPr>
          <w:p w14:paraId="1D810EA5" w14:textId="77777777" w:rsidR="002A4FBC" w:rsidRPr="0085125A" w:rsidRDefault="002A4FBC" w:rsidP="002A4FBC">
            <w:pPr>
              <w:widowControl w:val="0"/>
              <w:autoSpaceDE w:val="0"/>
              <w:autoSpaceDN w:val="0"/>
              <w:adjustRightInd w:val="0"/>
              <w:jc w:val="both"/>
            </w:pPr>
            <w:r w:rsidRPr="0085125A">
              <w:t>14.54</w:t>
            </w:r>
          </w:p>
        </w:tc>
        <w:tc>
          <w:tcPr>
            <w:tcW w:w="2129" w:type="dxa"/>
            <w:tcBorders>
              <w:top w:val="nil"/>
              <w:left w:val="nil"/>
              <w:bottom w:val="single" w:sz="4" w:space="0" w:color="auto"/>
              <w:right w:val="nil"/>
            </w:tcBorders>
          </w:tcPr>
          <w:p w14:paraId="7B1B9F4A" w14:textId="77777777" w:rsidR="002A4FBC" w:rsidRPr="0085125A" w:rsidRDefault="002A4FBC" w:rsidP="002A4FBC">
            <w:pPr>
              <w:widowControl w:val="0"/>
              <w:autoSpaceDE w:val="0"/>
              <w:autoSpaceDN w:val="0"/>
              <w:adjustRightInd w:val="0"/>
              <w:jc w:val="both"/>
            </w:pPr>
            <w:r w:rsidRPr="0085125A">
              <w:t>3.96</w:t>
            </w:r>
          </w:p>
        </w:tc>
        <w:tc>
          <w:tcPr>
            <w:tcW w:w="1297" w:type="dxa"/>
            <w:tcBorders>
              <w:top w:val="nil"/>
              <w:left w:val="nil"/>
              <w:bottom w:val="single" w:sz="4" w:space="0" w:color="auto"/>
              <w:right w:val="nil"/>
            </w:tcBorders>
          </w:tcPr>
          <w:p w14:paraId="6DBAC16E" w14:textId="77777777" w:rsidR="002A4FBC" w:rsidRPr="0085125A" w:rsidRDefault="002A4FBC" w:rsidP="002A4FBC">
            <w:pPr>
              <w:widowControl w:val="0"/>
              <w:autoSpaceDE w:val="0"/>
              <w:autoSpaceDN w:val="0"/>
              <w:adjustRightInd w:val="0"/>
              <w:jc w:val="both"/>
            </w:pPr>
            <w:r w:rsidRPr="0085125A">
              <w:t>5,41</w:t>
            </w:r>
          </w:p>
        </w:tc>
        <w:tc>
          <w:tcPr>
            <w:tcW w:w="1336" w:type="dxa"/>
            <w:tcBorders>
              <w:top w:val="nil"/>
              <w:left w:val="nil"/>
              <w:bottom w:val="single" w:sz="4" w:space="0" w:color="auto"/>
              <w:right w:val="nil"/>
            </w:tcBorders>
          </w:tcPr>
          <w:p w14:paraId="309B9A5D" w14:textId="77777777" w:rsidR="002A4FBC" w:rsidRPr="0085125A" w:rsidRDefault="002A4FBC" w:rsidP="002A4FBC">
            <w:pPr>
              <w:widowControl w:val="0"/>
              <w:autoSpaceDE w:val="0"/>
              <w:autoSpaceDN w:val="0"/>
              <w:adjustRightInd w:val="0"/>
              <w:jc w:val="both"/>
            </w:pPr>
            <w:r w:rsidRPr="0085125A">
              <w:t>17.56</w:t>
            </w:r>
          </w:p>
          <w:p w14:paraId="5C7DAFEF" w14:textId="77777777" w:rsidR="002A4FBC" w:rsidRPr="0085125A" w:rsidRDefault="002A4FBC" w:rsidP="002A4FBC">
            <w:pPr>
              <w:widowControl w:val="0"/>
              <w:autoSpaceDE w:val="0"/>
              <w:autoSpaceDN w:val="0"/>
              <w:adjustRightInd w:val="0"/>
              <w:jc w:val="both"/>
            </w:pPr>
          </w:p>
        </w:tc>
      </w:tr>
      <w:tr w:rsidR="002A4FBC" w:rsidRPr="0085125A" w14:paraId="71543D9C" w14:textId="77777777" w:rsidTr="002A4FBC">
        <w:tc>
          <w:tcPr>
            <w:tcW w:w="3276" w:type="dxa"/>
            <w:tcBorders>
              <w:top w:val="nil"/>
              <w:left w:val="nil"/>
              <w:bottom w:val="single" w:sz="4" w:space="0" w:color="auto"/>
              <w:right w:val="nil"/>
            </w:tcBorders>
          </w:tcPr>
          <w:p w14:paraId="3189768E" w14:textId="77777777" w:rsidR="002A4FBC" w:rsidRPr="0085125A" w:rsidRDefault="002A4FBC" w:rsidP="002A4FBC">
            <w:pPr>
              <w:widowControl w:val="0"/>
              <w:autoSpaceDE w:val="0"/>
              <w:autoSpaceDN w:val="0"/>
              <w:adjustRightInd w:val="0"/>
              <w:jc w:val="both"/>
            </w:pPr>
            <w:r w:rsidRPr="0085125A">
              <w:t>Observations</w:t>
            </w:r>
          </w:p>
        </w:tc>
        <w:tc>
          <w:tcPr>
            <w:tcW w:w="883" w:type="dxa"/>
            <w:tcBorders>
              <w:top w:val="nil"/>
              <w:left w:val="nil"/>
              <w:bottom w:val="single" w:sz="4" w:space="0" w:color="auto"/>
              <w:right w:val="nil"/>
            </w:tcBorders>
          </w:tcPr>
          <w:p w14:paraId="01960619" w14:textId="77777777" w:rsidR="002A4FBC" w:rsidRPr="0085125A" w:rsidRDefault="002A4FBC" w:rsidP="002A4FBC">
            <w:pPr>
              <w:widowControl w:val="0"/>
              <w:autoSpaceDE w:val="0"/>
              <w:autoSpaceDN w:val="0"/>
              <w:adjustRightInd w:val="0"/>
              <w:jc w:val="both"/>
            </w:pPr>
            <w:r w:rsidRPr="0085125A">
              <w:t>32</w:t>
            </w:r>
          </w:p>
        </w:tc>
        <w:tc>
          <w:tcPr>
            <w:tcW w:w="2129" w:type="dxa"/>
            <w:tcBorders>
              <w:top w:val="nil"/>
              <w:left w:val="nil"/>
              <w:bottom w:val="single" w:sz="4" w:space="0" w:color="auto"/>
              <w:right w:val="nil"/>
            </w:tcBorders>
          </w:tcPr>
          <w:p w14:paraId="73749EC2" w14:textId="77777777" w:rsidR="002A4FBC" w:rsidRPr="0085125A" w:rsidRDefault="002A4FBC" w:rsidP="002A4FBC">
            <w:pPr>
              <w:widowControl w:val="0"/>
              <w:autoSpaceDE w:val="0"/>
              <w:autoSpaceDN w:val="0"/>
              <w:adjustRightInd w:val="0"/>
              <w:jc w:val="both"/>
            </w:pPr>
          </w:p>
        </w:tc>
        <w:tc>
          <w:tcPr>
            <w:tcW w:w="1297" w:type="dxa"/>
            <w:tcBorders>
              <w:top w:val="nil"/>
              <w:left w:val="nil"/>
              <w:bottom w:val="single" w:sz="4" w:space="0" w:color="auto"/>
              <w:right w:val="nil"/>
            </w:tcBorders>
          </w:tcPr>
          <w:p w14:paraId="5BFB62BA" w14:textId="77777777" w:rsidR="002A4FBC" w:rsidRPr="0085125A" w:rsidRDefault="002A4FBC" w:rsidP="002A4FBC">
            <w:pPr>
              <w:widowControl w:val="0"/>
              <w:autoSpaceDE w:val="0"/>
              <w:autoSpaceDN w:val="0"/>
              <w:adjustRightInd w:val="0"/>
              <w:jc w:val="both"/>
            </w:pPr>
          </w:p>
        </w:tc>
        <w:tc>
          <w:tcPr>
            <w:tcW w:w="1336" w:type="dxa"/>
            <w:tcBorders>
              <w:top w:val="nil"/>
              <w:left w:val="nil"/>
              <w:bottom w:val="single" w:sz="4" w:space="0" w:color="auto"/>
              <w:right w:val="nil"/>
            </w:tcBorders>
          </w:tcPr>
          <w:p w14:paraId="56074E50" w14:textId="77777777" w:rsidR="002A4FBC" w:rsidRPr="0085125A" w:rsidRDefault="002A4FBC" w:rsidP="002A4FBC">
            <w:pPr>
              <w:widowControl w:val="0"/>
              <w:autoSpaceDE w:val="0"/>
              <w:autoSpaceDN w:val="0"/>
              <w:adjustRightInd w:val="0"/>
              <w:jc w:val="both"/>
            </w:pPr>
          </w:p>
        </w:tc>
      </w:tr>
    </w:tbl>
    <w:p w14:paraId="47CC6EC0" w14:textId="77777777" w:rsidR="002A4FBC" w:rsidRPr="0085125A" w:rsidRDefault="002A4FBC" w:rsidP="002A4FBC">
      <w:pPr>
        <w:spacing w:after="200" w:line="360" w:lineRule="auto"/>
        <w:jc w:val="both"/>
        <w:rPr>
          <w:lang w:val="en-ZA"/>
        </w:rPr>
      </w:pPr>
      <w:r w:rsidRPr="0085125A">
        <w:rPr>
          <w:lang w:val="en-ZA"/>
        </w:rPr>
        <w:t xml:space="preserve">Source: </w:t>
      </w:r>
      <w:r w:rsidRPr="0085125A">
        <w:t>Author's estimation based on (September 2021) time series data from World Bank Dataset.</w:t>
      </w:r>
    </w:p>
    <w:p w14:paraId="08C196F1" w14:textId="2D0EECF6" w:rsidR="002A4FBC" w:rsidRPr="0085125A" w:rsidRDefault="002A4FBC" w:rsidP="002A4FBC">
      <w:pPr>
        <w:widowControl w:val="0"/>
        <w:adjustRightInd w:val="0"/>
        <w:spacing w:line="360" w:lineRule="auto"/>
        <w:jc w:val="both"/>
        <w:textAlignment w:val="baseline"/>
      </w:pPr>
      <w:r w:rsidRPr="0085125A">
        <w:t>Total final energy consumption shows the greatest average among all the variables while foreign direct investment shows the smallest mean. All variables shows the highest observations of Thirty two</w:t>
      </w:r>
      <w:r w:rsidR="00CB21C7">
        <w:t xml:space="preserve">. </w:t>
      </w:r>
    </w:p>
    <w:p w14:paraId="05C85134" w14:textId="29031C7E" w:rsidR="002A4FBC" w:rsidRPr="0085125A" w:rsidRDefault="002A4FBC" w:rsidP="002A4FBC">
      <w:pPr>
        <w:widowControl w:val="0"/>
        <w:adjustRightInd w:val="0"/>
        <w:spacing w:line="360" w:lineRule="auto"/>
        <w:jc w:val="both"/>
        <w:textAlignment w:val="baseline"/>
      </w:pPr>
      <w:r w:rsidRPr="0085125A">
        <w:t>Table</w:t>
      </w:r>
      <w:r w:rsidR="002F73C0">
        <w:t xml:space="preserve"> 4:</w:t>
      </w:r>
      <w:r w:rsidRPr="0085125A">
        <w:t xml:space="preserve"> Pairwise correlations between variables used in the Equation</w:t>
      </w:r>
    </w:p>
    <w:tbl>
      <w:tblPr>
        <w:tblW w:w="10444" w:type="dxa"/>
        <w:tblLayout w:type="fixed"/>
        <w:tblLook w:val="04A0" w:firstRow="1" w:lastRow="0" w:firstColumn="1" w:lastColumn="0" w:noHBand="0" w:noVBand="1"/>
      </w:tblPr>
      <w:tblGrid>
        <w:gridCol w:w="1534"/>
        <w:gridCol w:w="1108"/>
        <w:gridCol w:w="1022"/>
        <w:gridCol w:w="937"/>
        <w:gridCol w:w="1022"/>
        <w:gridCol w:w="1577"/>
        <w:gridCol w:w="1170"/>
        <w:gridCol w:w="2074"/>
      </w:tblGrid>
      <w:tr w:rsidR="00906C1D" w:rsidRPr="0085125A" w14:paraId="2F75BD31" w14:textId="77777777" w:rsidTr="00906C1D">
        <w:trPr>
          <w:trHeight w:val="305"/>
        </w:trPr>
        <w:tc>
          <w:tcPr>
            <w:tcW w:w="1534" w:type="dxa"/>
            <w:tcBorders>
              <w:top w:val="single" w:sz="4" w:space="0" w:color="auto"/>
              <w:left w:val="nil"/>
              <w:bottom w:val="single" w:sz="4" w:space="0" w:color="auto"/>
              <w:right w:val="nil"/>
            </w:tcBorders>
            <w:shd w:val="clear" w:color="auto" w:fill="auto"/>
            <w:vAlign w:val="center"/>
            <w:hideMark/>
          </w:tcPr>
          <w:p w14:paraId="70DFED76" w14:textId="77777777" w:rsidR="002A4FBC" w:rsidRPr="0085125A" w:rsidRDefault="002A4FBC" w:rsidP="002A4FBC">
            <w:pPr>
              <w:jc w:val="both"/>
              <w:rPr>
                <w:sz w:val="20"/>
                <w:szCs w:val="20"/>
              </w:rPr>
            </w:pPr>
            <w:r w:rsidRPr="0085125A">
              <w:rPr>
                <w:sz w:val="20"/>
                <w:szCs w:val="20"/>
              </w:rPr>
              <w:t>Variables</w:t>
            </w:r>
          </w:p>
        </w:tc>
        <w:tc>
          <w:tcPr>
            <w:tcW w:w="1108" w:type="dxa"/>
            <w:tcBorders>
              <w:top w:val="single" w:sz="4" w:space="0" w:color="auto"/>
              <w:left w:val="nil"/>
              <w:bottom w:val="single" w:sz="4" w:space="0" w:color="auto"/>
              <w:right w:val="nil"/>
            </w:tcBorders>
            <w:shd w:val="clear" w:color="auto" w:fill="auto"/>
            <w:vAlign w:val="center"/>
            <w:hideMark/>
          </w:tcPr>
          <w:p w14:paraId="59A5C333" w14:textId="77777777" w:rsidR="002A4FBC" w:rsidRPr="0085125A" w:rsidRDefault="002A4FBC" w:rsidP="002A4FBC">
            <w:pPr>
              <w:jc w:val="both"/>
              <w:rPr>
                <w:sz w:val="20"/>
                <w:szCs w:val="20"/>
              </w:rPr>
            </w:pPr>
            <w:r w:rsidRPr="0085125A">
              <w:rPr>
                <w:sz w:val="20"/>
                <w:szCs w:val="20"/>
              </w:rPr>
              <w:t>Total FEC</w:t>
            </w:r>
          </w:p>
        </w:tc>
        <w:tc>
          <w:tcPr>
            <w:tcW w:w="1022" w:type="dxa"/>
            <w:tcBorders>
              <w:top w:val="single" w:sz="4" w:space="0" w:color="auto"/>
              <w:left w:val="nil"/>
              <w:bottom w:val="single" w:sz="4" w:space="0" w:color="auto"/>
              <w:right w:val="nil"/>
            </w:tcBorders>
            <w:shd w:val="clear" w:color="auto" w:fill="auto"/>
            <w:noWrap/>
            <w:vAlign w:val="bottom"/>
            <w:hideMark/>
          </w:tcPr>
          <w:p w14:paraId="473E54C4" w14:textId="77777777" w:rsidR="002A4FBC" w:rsidRPr="0085125A" w:rsidRDefault="002A4FBC" w:rsidP="002A4FBC">
            <w:pPr>
              <w:jc w:val="both"/>
              <w:rPr>
                <w:sz w:val="20"/>
                <w:szCs w:val="20"/>
              </w:rPr>
            </w:pPr>
            <w:r w:rsidRPr="0085125A">
              <w:rPr>
                <w:sz w:val="20"/>
                <w:szCs w:val="20"/>
              </w:rPr>
              <w:t>GDP</w:t>
            </w:r>
          </w:p>
        </w:tc>
        <w:tc>
          <w:tcPr>
            <w:tcW w:w="937" w:type="dxa"/>
            <w:tcBorders>
              <w:top w:val="single" w:sz="4" w:space="0" w:color="auto"/>
              <w:left w:val="nil"/>
              <w:bottom w:val="single" w:sz="4" w:space="0" w:color="auto"/>
              <w:right w:val="nil"/>
            </w:tcBorders>
            <w:shd w:val="clear" w:color="auto" w:fill="auto"/>
            <w:vAlign w:val="center"/>
            <w:hideMark/>
          </w:tcPr>
          <w:p w14:paraId="3D46C9DB" w14:textId="77777777" w:rsidR="002A4FBC" w:rsidRPr="0085125A" w:rsidRDefault="002A4FBC" w:rsidP="002A4FBC">
            <w:pPr>
              <w:jc w:val="both"/>
              <w:rPr>
                <w:sz w:val="20"/>
                <w:szCs w:val="20"/>
              </w:rPr>
            </w:pPr>
            <w:r w:rsidRPr="0085125A">
              <w:rPr>
                <w:sz w:val="20"/>
                <w:szCs w:val="20"/>
              </w:rPr>
              <w:t>ToT</w:t>
            </w:r>
          </w:p>
        </w:tc>
        <w:tc>
          <w:tcPr>
            <w:tcW w:w="1022" w:type="dxa"/>
            <w:tcBorders>
              <w:top w:val="single" w:sz="4" w:space="0" w:color="auto"/>
              <w:left w:val="nil"/>
              <w:bottom w:val="single" w:sz="4" w:space="0" w:color="auto"/>
              <w:right w:val="nil"/>
            </w:tcBorders>
            <w:shd w:val="clear" w:color="auto" w:fill="auto"/>
            <w:vAlign w:val="center"/>
            <w:hideMark/>
          </w:tcPr>
          <w:p w14:paraId="5FBAAA8D" w14:textId="77777777" w:rsidR="002A4FBC" w:rsidRPr="0085125A" w:rsidRDefault="002A4FBC" w:rsidP="002A4FBC">
            <w:pPr>
              <w:jc w:val="both"/>
              <w:rPr>
                <w:sz w:val="20"/>
                <w:szCs w:val="20"/>
              </w:rPr>
            </w:pPr>
            <w:r w:rsidRPr="0085125A">
              <w:rPr>
                <w:sz w:val="20"/>
                <w:szCs w:val="20"/>
              </w:rPr>
              <w:t>POP</w:t>
            </w:r>
          </w:p>
        </w:tc>
        <w:tc>
          <w:tcPr>
            <w:tcW w:w="1577" w:type="dxa"/>
            <w:tcBorders>
              <w:top w:val="single" w:sz="4" w:space="0" w:color="auto"/>
              <w:left w:val="nil"/>
              <w:bottom w:val="single" w:sz="4" w:space="0" w:color="auto"/>
              <w:right w:val="nil"/>
            </w:tcBorders>
            <w:shd w:val="clear" w:color="auto" w:fill="auto"/>
            <w:noWrap/>
            <w:vAlign w:val="bottom"/>
            <w:hideMark/>
          </w:tcPr>
          <w:p w14:paraId="172DD4D1" w14:textId="77777777" w:rsidR="002A4FBC" w:rsidRPr="0085125A" w:rsidRDefault="002A4FBC" w:rsidP="002A4FBC">
            <w:pPr>
              <w:jc w:val="both"/>
              <w:rPr>
                <w:sz w:val="20"/>
                <w:szCs w:val="20"/>
              </w:rPr>
            </w:pPr>
            <w:r w:rsidRPr="0085125A">
              <w:rPr>
                <w:sz w:val="20"/>
                <w:szCs w:val="20"/>
              </w:rPr>
              <w:t xml:space="preserve">Industrialization </w:t>
            </w:r>
          </w:p>
        </w:tc>
        <w:tc>
          <w:tcPr>
            <w:tcW w:w="1170" w:type="dxa"/>
            <w:tcBorders>
              <w:top w:val="single" w:sz="4" w:space="0" w:color="auto"/>
              <w:left w:val="nil"/>
              <w:bottom w:val="single" w:sz="4" w:space="0" w:color="auto"/>
              <w:right w:val="nil"/>
            </w:tcBorders>
            <w:shd w:val="clear" w:color="auto" w:fill="auto"/>
            <w:noWrap/>
            <w:vAlign w:val="bottom"/>
            <w:hideMark/>
          </w:tcPr>
          <w:p w14:paraId="544A177D" w14:textId="77777777" w:rsidR="002A4FBC" w:rsidRPr="0085125A" w:rsidRDefault="002A4FBC" w:rsidP="002A4FBC">
            <w:pPr>
              <w:jc w:val="both"/>
              <w:rPr>
                <w:sz w:val="20"/>
                <w:szCs w:val="20"/>
              </w:rPr>
            </w:pPr>
            <w:r w:rsidRPr="0085125A">
              <w:rPr>
                <w:sz w:val="20"/>
                <w:szCs w:val="20"/>
              </w:rPr>
              <w:t>FDI%GDP</w:t>
            </w:r>
          </w:p>
        </w:tc>
        <w:tc>
          <w:tcPr>
            <w:tcW w:w="2074" w:type="dxa"/>
            <w:tcBorders>
              <w:top w:val="single" w:sz="4" w:space="0" w:color="auto"/>
              <w:left w:val="nil"/>
              <w:bottom w:val="single" w:sz="4" w:space="0" w:color="auto"/>
              <w:right w:val="nil"/>
            </w:tcBorders>
            <w:shd w:val="clear" w:color="auto" w:fill="auto"/>
            <w:vAlign w:val="center"/>
            <w:hideMark/>
          </w:tcPr>
          <w:p w14:paraId="3973EDC7" w14:textId="77777777" w:rsidR="002A4FBC" w:rsidRPr="0085125A" w:rsidRDefault="002A4FBC" w:rsidP="002A4FBC">
            <w:pPr>
              <w:jc w:val="both"/>
              <w:rPr>
                <w:sz w:val="20"/>
                <w:szCs w:val="20"/>
              </w:rPr>
            </w:pPr>
            <w:r w:rsidRPr="0085125A">
              <w:rPr>
                <w:sz w:val="20"/>
                <w:szCs w:val="20"/>
              </w:rPr>
              <w:t>Urbanization</w:t>
            </w:r>
          </w:p>
        </w:tc>
      </w:tr>
      <w:tr w:rsidR="00906C1D" w:rsidRPr="0085125A" w14:paraId="593FF367" w14:textId="77777777" w:rsidTr="00906C1D">
        <w:trPr>
          <w:trHeight w:val="321"/>
        </w:trPr>
        <w:tc>
          <w:tcPr>
            <w:tcW w:w="1534" w:type="dxa"/>
            <w:tcBorders>
              <w:top w:val="nil"/>
              <w:left w:val="nil"/>
              <w:bottom w:val="nil"/>
              <w:right w:val="nil"/>
            </w:tcBorders>
            <w:shd w:val="clear" w:color="auto" w:fill="auto"/>
            <w:vAlign w:val="center"/>
            <w:hideMark/>
          </w:tcPr>
          <w:p w14:paraId="52E7C8BB" w14:textId="77777777" w:rsidR="002A4FBC" w:rsidRPr="0085125A" w:rsidRDefault="002A4FBC" w:rsidP="002A4FBC">
            <w:pPr>
              <w:jc w:val="both"/>
              <w:rPr>
                <w:sz w:val="20"/>
                <w:szCs w:val="20"/>
              </w:rPr>
            </w:pPr>
            <w:r w:rsidRPr="0085125A">
              <w:rPr>
                <w:sz w:val="20"/>
                <w:szCs w:val="20"/>
              </w:rPr>
              <w:t>TFEC</w:t>
            </w:r>
          </w:p>
        </w:tc>
        <w:tc>
          <w:tcPr>
            <w:tcW w:w="1108" w:type="dxa"/>
            <w:tcBorders>
              <w:top w:val="nil"/>
              <w:left w:val="nil"/>
              <w:bottom w:val="nil"/>
              <w:right w:val="nil"/>
            </w:tcBorders>
            <w:shd w:val="clear" w:color="auto" w:fill="auto"/>
            <w:noWrap/>
            <w:vAlign w:val="bottom"/>
            <w:hideMark/>
          </w:tcPr>
          <w:p w14:paraId="210C9629" w14:textId="77777777" w:rsidR="002A4FBC" w:rsidRPr="0085125A" w:rsidRDefault="002A4FBC" w:rsidP="002A4FBC">
            <w:pPr>
              <w:jc w:val="both"/>
              <w:rPr>
                <w:sz w:val="20"/>
                <w:szCs w:val="20"/>
              </w:rPr>
            </w:pPr>
            <w:r w:rsidRPr="0085125A">
              <w:rPr>
                <w:sz w:val="20"/>
                <w:szCs w:val="20"/>
              </w:rPr>
              <w:t>1</w:t>
            </w:r>
          </w:p>
        </w:tc>
        <w:tc>
          <w:tcPr>
            <w:tcW w:w="1022" w:type="dxa"/>
            <w:tcBorders>
              <w:top w:val="nil"/>
              <w:left w:val="nil"/>
              <w:bottom w:val="nil"/>
              <w:right w:val="nil"/>
            </w:tcBorders>
            <w:shd w:val="clear" w:color="auto" w:fill="auto"/>
            <w:noWrap/>
            <w:vAlign w:val="bottom"/>
            <w:hideMark/>
          </w:tcPr>
          <w:p w14:paraId="7AE96FC5" w14:textId="77777777" w:rsidR="002A4FBC" w:rsidRPr="0085125A" w:rsidRDefault="002A4FBC" w:rsidP="002A4FBC">
            <w:pPr>
              <w:jc w:val="both"/>
              <w:rPr>
                <w:sz w:val="20"/>
                <w:szCs w:val="20"/>
              </w:rPr>
            </w:pPr>
          </w:p>
        </w:tc>
        <w:tc>
          <w:tcPr>
            <w:tcW w:w="937" w:type="dxa"/>
            <w:tcBorders>
              <w:top w:val="nil"/>
              <w:left w:val="nil"/>
              <w:bottom w:val="nil"/>
              <w:right w:val="nil"/>
            </w:tcBorders>
            <w:shd w:val="clear" w:color="auto" w:fill="auto"/>
            <w:noWrap/>
            <w:vAlign w:val="bottom"/>
            <w:hideMark/>
          </w:tcPr>
          <w:p w14:paraId="6871C057" w14:textId="77777777" w:rsidR="002A4FBC" w:rsidRPr="0085125A" w:rsidRDefault="002A4FBC" w:rsidP="002A4FBC">
            <w:pPr>
              <w:jc w:val="both"/>
              <w:rPr>
                <w:sz w:val="20"/>
                <w:szCs w:val="20"/>
              </w:rPr>
            </w:pPr>
          </w:p>
        </w:tc>
        <w:tc>
          <w:tcPr>
            <w:tcW w:w="1022" w:type="dxa"/>
            <w:tcBorders>
              <w:top w:val="nil"/>
              <w:left w:val="nil"/>
              <w:bottom w:val="nil"/>
              <w:right w:val="nil"/>
            </w:tcBorders>
            <w:shd w:val="clear" w:color="auto" w:fill="auto"/>
            <w:noWrap/>
            <w:vAlign w:val="bottom"/>
            <w:hideMark/>
          </w:tcPr>
          <w:p w14:paraId="6EECB979" w14:textId="77777777" w:rsidR="002A4FBC" w:rsidRPr="0085125A" w:rsidRDefault="002A4FBC" w:rsidP="002A4FBC">
            <w:pPr>
              <w:jc w:val="both"/>
              <w:rPr>
                <w:sz w:val="20"/>
                <w:szCs w:val="20"/>
              </w:rPr>
            </w:pPr>
          </w:p>
        </w:tc>
        <w:tc>
          <w:tcPr>
            <w:tcW w:w="1577" w:type="dxa"/>
            <w:tcBorders>
              <w:top w:val="nil"/>
              <w:left w:val="nil"/>
              <w:bottom w:val="nil"/>
              <w:right w:val="nil"/>
            </w:tcBorders>
            <w:shd w:val="clear" w:color="auto" w:fill="auto"/>
            <w:noWrap/>
            <w:vAlign w:val="bottom"/>
            <w:hideMark/>
          </w:tcPr>
          <w:p w14:paraId="0A943811" w14:textId="77777777" w:rsidR="002A4FBC" w:rsidRPr="0085125A" w:rsidRDefault="002A4FBC" w:rsidP="002A4FBC">
            <w:pPr>
              <w:jc w:val="both"/>
              <w:rPr>
                <w:sz w:val="20"/>
                <w:szCs w:val="20"/>
              </w:rPr>
            </w:pPr>
          </w:p>
        </w:tc>
        <w:tc>
          <w:tcPr>
            <w:tcW w:w="1170" w:type="dxa"/>
            <w:tcBorders>
              <w:top w:val="nil"/>
              <w:left w:val="nil"/>
              <w:bottom w:val="nil"/>
              <w:right w:val="nil"/>
            </w:tcBorders>
            <w:shd w:val="clear" w:color="auto" w:fill="auto"/>
            <w:noWrap/>
            <w:vAlign w:val="bottom"/>
            <w:hideMark/>
          </w:tcPr>
          <w:p w14:paraId="7337A73C" w14:textId="77777777" w:rsidR="002A4FBC" w:rsidRPr="0085125A" w:rsidRDefault="002A4FBC" w:rsidP="002A4FBC">
            <w:pPr>
              <w:jc w:val="both"/>
              <w:rPr>
                <w:sz w:val="20"/>
                <w:szCs w:val="20"/>
              </w:rPr>
            </w:pPr>
          </w:p>
        </w:tc>
        <w:tc>
          <w:tcPr>
            <w:tcW w:w="2074" w:type="dxa"/>
            <w:tcBorders>
              <w:top w:val="nil"/>
              <w:left w:val="nil"/>
              <w:bottom w:val="nil"/>
              <w:right w:val="nil"/>
            </w:tcBorders>
            <w:shd w:val="clear" w:color="auto" w:fill="auto"/>
            <w:noWrap/>
            <w:vAlign w:val="bottom"/>
            <w:hideMark/>
          </w:tcPr>
          <w:p w14:paraId="39179871" w14:textId="77777777" w:rsidR="002A4FBC" w:rsidRPr="0085125A" w:rsidRDefault="002A4FBC" w:rsidP="002A4FBC">
            <w:pPr>
              <w:jc w:val="both"/>
              <w:rPr>
                <w:sz w:val="20"/>
                <w:szCs w:val="20"/>
              </w:rPr>
            </w:pPr>
          </w:p>
        </w:tc>
      </w:tr>
      <w:tr w:rsidR="00906C1D" w:rsidRPr="0085125A" w14:paraId="05265E6F" w14:textId="77777777" w:rsidTr="00906C1D">
        <w:trPr>
          <w:trHeight w:val="306"/>
        </w:trPr>
        <w:tc>
          <w:tcPr>
            <w:tcW w:w="1534" w:type="dxa"/>
            <w:tcBorders>
              <w:top w:val="nil"/>
              <w:left w:val="nil"/>
              <w:bottom w:val="nil"/>
              <w:right w:val="nil"/>
            </w:tcBorders>
            <w:shd w:val="clear" w:color="auto" w:fill="auto"/>
            <w:noWrap/>
            <w:vAlign w:val="bottom"/>
            <w:hideMark/>
          </w:tcPr>
          <w:p w14:paraId="056993C8" w14:textId="77777777" w:rsidR="002A4FBC" w:rsidRPr="0085125A" w:rsidRDefault="002A4FBC" w:rsidP="002A4FBC">
            <w:pPr>
              <w:jc w:val="both"/>
              <w:rPr>
                <w:sz w:val="20"/>
                <w:szCs w:val="20"/>
              </w:rPr>
            </w:pPr>
            <w:r w:rsidRPr="0085125A">
              <w:rPr>
                <w:sz w:val="20"/>
                <w:szCs w:val="20"/>
              </w:rPr>
              <w:t>GDP pc</w:t>
            </w:r>
          </w:p>
        </w:tc>
        <w:tc>
          <w:tcPr>
            <w:tcW w:w="1108" w:type="dxa"/>
            <w:tcBorders>
              <w:top w:val="nil"/>
              <w:left w:val="nil"/>
              <w:bottom w:val="nil"/>
              <w:right w:val="nil"/>
            </w:tcBorders>
            <w:shd w:val="clear" w:color="auto" w:fill="auto"/>
            <w:noWrap/>
            <w:vAlign w:val="bottom"/>
            <w:hideMark/>
          </w:tcPr>
          <w:p w14:paraId="3E571F92" w14:textId="77777777" w:rsidR="002A4FBC" w:rsidRPr="0085125A" w:rsidRDefault="002A4FBC" w:rsidP="002A4FBC">
            <w:pPr>
              <w:jc w:val="both"/>
              <w:rPr>
                <w:sz w:val="20"/>
                <w:szCs w:val="20"/>
              </w:rPr>
            </w:pPr>
            <w:r w:rsidRPr="0085125A">
              <w:rPr>
                <w:sz w:val="20"/>
                <w:szCs w:val="20"/>
              </w:rPr>
              <w:t>0.750***</w:t>
            </w:r>
          </w:p>
        </w:tc>
        <w:tc>
          <w:tcPr>
            <w:tcW w:w="1022" w:type="dxa"/>
            <w:tcBorders>
              <w:top w:val="nil"/>
              <w:left w:val="nil"/>
              <w:bottom w:val="nil"/>
              <w:right w:val="nil"/>
            </w:tcBorders>
            <w:shd w:val="clear" w:color="auto" w:fill="auto"/>
            <w:noWrap/>
            <w:vAlign w:val="bottom"/>
            <w:hideMark/>
          </w:tcPr>
          <w:p w14:paraId="2F62FB8F" w14:textId="77777777" w:rsidR="002A4FBC" w:rsidRPr="0085125A" w:rsidRDefault="002A4FBC" w:rsidP="002A4FBC">
            <w:pPr>
              <w:jc w:val="both"/>
              <w:rPr>
                <w:sz w:val="20"/>
                <w:szCs w:val="20"/>
              </w:rPr>
            </w:pPr>
            <w:r w:rsidRPr="0085125A">
              <w:rPr>
                <w:sz w:val="20"/>
                <w:szCs w:val="20"/>
              </w:rPr>
              <w:t>1</w:t>
            </w:r>
          </w:p>
        </w:tc>
        <w:tc>
          <w:tcPr>
            <w:tcW w:w="937" w:type="dxa"/>
            <w:tcBorders>
              <w:top w:val="nil"/>
              <w:left w:val="nil"/>
              <w:bottom w:val="nil"/>
              <w:right w:val="nil"/>
            </w:tcBorders>
            <w:shd w:val="clear" w:color="auto" w:fill="auto"/>
            <w:noWrap/>
            <w:vAlign w:val="bottom"/>
            <w:hideMark/>
          </w:tcPr>
          <w:p w14:paraId="0359566C" w14:textId="77777777" w:rsidR="002A4FBC" w:rsidRPr="0085125A" w:rsidRDefault="002A4FBC" w:rsidP="002A4FBC">
            <w:pPr>
              <w:jc w:val="both"/>
              <w:rPr>
                <w:sz w:val="20"/>
                <w:szCs w:val="20"/>
              </w:rPr>
            </w:pPr>
          </w:p>
        </w:tc>
        <w:tc>
          <w:tcPr>
            <w:tcW w:w="1022" w:type="dxa"/>
            <w:tcBorders>
              <w:top w:val="nil"/>
              <w:left w:val="nil"/>
              <w:bottom w:val="nil"/>
              <w:right w:val="nil"/>
            </w:tcBorders>
            <w:shd w:val="clear" w:color="auto" w:fill="auto"/>
            <w:noWrap/>
            <w:vAlign w:val="bottom"/>
            <w:hideMark/>
          </w:tcPr>
          <w:p w14:paraId="15552CED" w14:textId="77777777" w:rsidR="002A4FBC" w:rsidRPr="0085125A" w:rsidRDefault="002A4FBC" w:rsidP="002A4FBC">
            <w:pPr>
              <w:jc w:val="both"/>
              <w:rPr>
                <w:sz w:val="20"/>
                <w:szCs w:val="20"/>
              </w:rPr>
            </w:pPr>
          </w:p>
        </w:tc>
        <w:tc>
          <w:tcPr>
            <w:tcW w:w="1577" w:type="dxa"/>
            <w:tcBorders>
              <w:top w:val="nil"/>
              <w:left w:val="nil"/>
              <w:bottom w:val="nil"/>
              <w:right w:val="nil"/>
            </w:tcBorders>
            <w:shd w:val="clear" w:color="auto" w:fill="auto"/>
            <w:noWrap/>
            <w:vAlign w:val="bottom"/>
            <w:hideMark/>
          </w:tcPr>
          <w:p w14:paraId="7FA942B5" w14:textId="77777777" w:rsidR="002A4FBC" w:rsidRPr="0085125A" w:rsidRDefault="002A4FBC" w:rsidP="002A4FBC">
            <w:pPr>
              <w:jc w:val="both"/>
              <w:rPr>
                <w:sz w:val="20"/>
                <w:szCs w:val="20"/>
              </w:rPr>
            </w:pPr>
          </w:p>
        </w:tc>
        <w:tc>
          <w:tcPr>
            <w:tcW w:w="1170" w:type="dxa"/>
            <w:tcBorders>
              <w:top w:val="nil"/>
              <w:left w:val="nil"/>
              <w:bottom w:val="nil"/>
              <w:right w:val="nil"/>
            </w:tcBorders>
            <w:shd w:val="clear" w:color="auto" w:fill="auto"/>
            <w:noWrap/>
            <w:vAlign w:val="bottom"/>
            <w:hideMark/>
          </w:tcPr>
          <w:p w14:paraId="1B7105F4" w14:textId="77777777" w:rsidR="002A4FBC" w:rsidRPr="0085125A" w:rsidRDefault="002A4FBC" w:rsidP="002A4FBC">
            <w:pPr>
              <w:jc w:val="both"/>
              <w:rPr>
                <w:sz w:val="20"/>
                <w:szCs w:val="20"/>
              </w:rPr>
            </w:pPr>
          </w:p>
        </w:tc>
        <w:tc>
          <w:tcPr>
            <w:tcW w:w="2074" w:type="dxa"/>
            <w:tcBorders>
              <w:top w:val="nil"/>
              <w:left w:val="nil"/>
              <w:bottom w:val="nil"/>
              <w:right w:val="nil"/>
            </w:tcBorders>
            <w:shd w:val="clear" w:color="auto" w:fill="auto"/>
            <w:noWrap/>
            <w:vAlign w:val="bottom"/>
            <w:hideMark/>
          </w:tcPr>
          <w:p w14:paraId="59FE2034" w14:textId="77777777" w:rsidR="002A4FBC" w:rsidRPr="0085125A" w:rsidRDefault="002A4FBC" w:rsidP="002A4FBC">
            <w:pPr>
              <w:jc w:val="both"/>
              <w:rPr>
                <w:sz w:val="20"/>
                <w:szCs w:val="20"/>
              </w:rPr>
            </w:pPr>
          </w:p>
        </w:tc>
      </w:tr>
      <w:tr w:rsidR="00906C1D" w:rsidRPr="0085125A" w14:paraId="1964E334" w14:textId="77777777" w:rsidTr="00906C1D">
        <w:trPr>
          <w:trHeight w:val="321"/>
        </w:trPr>
        <w:tc>
          <w:tcPr>
            <w:tcW w:w="1534" w:type="dxa"/>
            <w:tcBorders>
              <w:top w:val="nil"/>
              <w:left w:val="nil"/>
              <w:bottom w:val="nil"/>
              <w:right w:val="nil"/>
            </w:tcBorders>
            <w:shd w:val="clear" w:color="auto" w:fill="auto"/>
            <w:vAlign w:val="center"/>
            <w:hideMark/>
          </w:tcPr>
          <w:p w14:paraId="2C017F40" w14:textId="77777777" w:rsidR="002A4FBC" w:rsidRPr="0085125A" w:rsidRDefault="002A4FBC" w:rsidP="002A4FBC">
            <w:pPr>
              <w:jc w:val="both"/>
              <w:rPr>
                <w:sz w:val="20"/>
                <w:szCs w:val="20"/>
              </w:rPr>
            </w:pPr>
            <w:r w:rsidRPr="0085125A">
              <w:rPr>
                <w:sz w:val="20"/>
                <w:szCs w:val="20"/>
              </w:rPr>
              <w:t>ToT</w:t>
            </w:r>
          </w:p>
        </w:tc>
        <w:tc>
          <w:tcPr>
            <w:tcW w:w="1108" w:type="dxa"/>
            <w:tcBorders>
              <w:top w:val="nil"/>
              <w:left w:val="nil"/>
              <w:bottom w:val="nil"/>
              <w:right w:val="nil"/>
            </w:tcBorders>
            <w:shd w:val="clear" w:color="auto" w:fill="auto"/>
            <w:noWrap/>
            <w:vAlign w:val="bottom"/>
            <w:hideMark/>
          </w:tcPr>
          <w:p w14:paraId="507B7332" w14:textId="77777777" w:rsidR="002A4FBC" w:rsidRPr="0085125A" w:rsidRDefault="002A4FBC" w:rsidP="002A4FBC">
            <w:pPr>
              <w:jc w:val="both"/>
              <w:rPr>
                <w:sz w:val="20"/>
                <w:szCs w:val="20"/>
              </w:rPr>
            </w:pPr>
            <w:r w:rsidRPr="0085125A">
              <w:rPr>
                <w:sz w:val="20"/>
                <w:szCs w:val="20"/>
              </w:rPr>
              <w:t>0.766***</w:t>
            </w:r>
          </w:p>
        </w:tc>
        <w:tc>
          <w:tcPr>
            <w:tcW w:w="1022" w:type="dxa"/>
            <w:tcBorders>
              <w:top w:val="nil"/>
              <w:left w:val="nil"/>
              <w:bottom w:val="nil"/>
              <w:right w:val="nil"/>
            </w:tcBorders>
            <w:shd w:val="clear" w:color="auto" w:fill="auto"/>
            <w:noWrap/>
            <w:vAlign w:val="bottom"/>
            <w:hideMark/>
          </w:tcPr>
          <w:p w14:paraId="2AFF20CE" w14:textId="77777777" w:rsidR="002A4FBC" w:rsidRPr="0085125A" w:rsidRDefault="002A4FBC" w:rsidP="002A4FBC">
            <w:pPr>
              <w:jc w:val="both"/>
              <w:rPr>
                <w:sz w:val="20"/>
                <w:szCs w:val="20"/>
              </w:rPr>
            </w:pPr>
            <w:r w:rsidRPr="0085125A">
              <w:rPr>
                <w:sz w:val="20"/>
                <w:szCs w:val="20"/>
              </w:rPr>
              <w:t>0.875***</w:t>
            </w:r>
          </w:p>
        </w:tc>
        <w:tc>
          <w:tcPr>
            <w:tcW w:w="937" w:type="dxa"/>
            <w:tcBorders>
              <w:top w:val="nil"/>
              <w:left w:val="nil"/>
              <w:bottom w:val="nil"/>
              <w:right w:val="nil"/>
            </w:tcBorders>
            <w:shd w:val="clear" w:color="auto" w:fill="auto"/>
            <w:noWrap/>
            <w:vAlign w:val="bottom"/>
            <w:hideMark/>
          </w:tcPr>
          <w:p w14:paraId="189A37EF" w14:textId="77777777" w:rsidR="002A4FBC" w:rsidRPr="0085125A" w:rsidRDefault="002A4FBC" w:rsidP="002A4FBC">
            <w:pPr>
              <w:jc w:val="both"/>
              <w:rPr>
                <w:sz w:val="20"/>
                <w:szCs w:val="20"/>
              </w:rPr>
            </w:pPr>
            <w:r w:rsidRPr="0085125A">
              <w:rPr>
                <w:sz w:val="20"/>
                <w:szCs w:val="20"/>
              </w:rPr>
              <w:t>1</w:t>
            </w:r>
          </w:p>
        </w:tc>
        <w:tc>
          <w:tcPr>
            <w:tcW w:w="1022" w:type="dxa"/>
            <w:tcBorders>
              <w:top w:val="nil"/>
              <w:left w:val="nil"/>
              <w:bottom w:val="nil"/>
              <w:right w:val="nil"/>
            </w:tcBorders>
            <w:shd w:val="clear" w:color="auto" w:fill="auto"/>
            <w:noWrap/>
            <w:vAlign w:val="bottom"/>
            <w:hideMark/>
          </w:tcPr>
          <w:p w14:paraId="6F608F08" w14:textId="77777777" w:rsidR="002A4FBC" w:rsidRPr="0085125A" w:rsidRDefault="002A4FBC" w:rsidP="002A4FBC">
            <w:pPr>
              <w:jc w:val="both"/>
              <w:rPr>
                <w:sz w:val="20"/>
                <w:szCs w:val="20"/>
              </w:rPr>
            </w:pPr>
          </w:p>
        </w:tc>
        <w:tc>
          <w:tcPr>
            <w:tcW w:w="1577" w:type="dxa"/>
            <w:tcBorders>
              <w:top w:val="nil"/>
              <w:left w:val="nil"/>
              <w:bottom w:val="nil"/>
              <w:right w:val="nil"/>
            </w:tcBorders>
            <w:shd w:val="clear" w:color="auto" w:fill="auto"/>
            <w:noWrap/>
            <w:vAlign w:val="bottom"/>
            <w:hideMark/>
          </w:tcPr>
          <w:p w14:paraId="665C237C" w14:textId="77777777" w:rsidR="002A4FBC" w:rsidRPr="0085125A" w:rsidRDefault="002A4FBC" w:rsidP="002A4FBC">
            <w:pPr>
              <w:jc w:val="both"/>
              <w:rPr>
                <w:sz w:val="20"/>
                <w:szCs w:val="20"/>
              </w:rPr>
            </w:pPr>
          </w:p>
        </w:tc>
        <w:tc>
          <w:tcPr>
            <w:tcW w:w="1170" w:type="dxa"/>
            <w:tcBorders>
              <w:top w:val="nil"/>
              <w:left w:val="nil"/>
              <w:bottom w:val="nil"/>
              <w:right w:val="nil"/>
            </w:tcBorders>
            <w:shd w:val="clear" w:color="auto" w:fill="auto"/>
            <w:noWrap/>
            <w:vAlign w:val="bottom"/>
            <w:hideMark/>
          </w:tcPr>
          <w:p w14:paraId="77CA365E" w14:textId="77777777" w:rsidR="002A4FBC" w:rsidRPr="0085125A" w:rsidRDefault="002A4FBC" w:rsidP="002A4FBC">
            <w:pPr>
              <w:jc w:val="both"/>
              <w:rPr>
                <w:sz w:val="20"/>
                <w:szCs w:val="20"/>
              </w:rPr>
            </w:pPr>
          </w:p>
        </w:tc>
        <w:tc>
          <w:tcPr>
            <w:tcW w:w="2074" w:type="dxa"/>
            <w:tcBorders>
              <w:top w:val="nil"/>
              <w:left w:val="nil"/>
              <w:bottom w:val="nil"/>
              <w:right w:val="nil"/>
            </w:tcBorders>
            <w:shd w:val="clear" w:color="auto" w:fill="auto"/>
            <w:noWrap/>
            <w:vAlign w:val="bottom"/>
            <w:hideMark/>
          </w:tcPr>
          <w:p w14:paraId="2394AAB0" w14:textId="77777777" w:rsidR="002A4FBC" w:rsidRPr="0085125A" w:rsidRDefault="002A4FBC" w:rsidP="002A4FBC">
            <w:pPr>
              <w:jc w:val="both"/>
              <w:rPr>
                <w:sz w:val="20"/>
                <w:szCs w:val="20"/>
              </w:rPr>
            </w:pPr>
          </w:p>
        </w:tc>
      </w:tr>
      <w:tr w:rsidR="00906C1D" w:rsidRPr="0085125A" w14:paraId="7C60DACC" w14:textId="77777777" w:rsidTr="00906C1D">
        <w:trPr>
          <w:trHeight w:val="321"/>
        </w:trPr>
        <w:tc>
          <w:tcPr>
            <w:tcW w:w="1534" w:type="dxa"/>
            <w:tcBorders>
              <w:top w:val="nil"/>
              <w:left w:val="nil"/>
              <w:bottom w:val="nil"/>
              <w:right w:val="nil"/>
            </w:tcBorders>
            <w:shd w:val="clear" w:color="auto" w:fill="auto"/>
            <w:vAlign w:val="center"/>
            <w:hideMark/>
          </w:tcPr>
          <w:p w14:paraId="4E6CFD62" w14:textId="77777777" w:rsidR="002A4FBC" w:rsidRPr="0085125A" w:rsidRDefault="002A4FBC" w:rsidP="002A4FBC">
            <w:pPr>
              <w:jc w:val="both"/>
              <w:rPr>
                <w:sz w:val="20"/>
                <w:szCs w:val="20"/>
              </w:rPr>
            </w:pPr>
            <w:r w:rsidRPr="0085125A">
              <w:rPr>
                <w:sz w:val="20"/>
                <w:szCs w:val="20"/>
              </w:rPr>
              <w:t>POP</w:t>
            </w:r>
          </w:p>
        </w:tc>
        <w:tc>
          <w:tcPr>
            <w:tcW w:w="1108" w:type="dxa"/>
            <w:tcBorders>
              <w:top w:val="nil"/>
              <w:left w:val="nil"/>
              <w:bottom w:val="nil"/>
              <w:right w:val="nil"/>
            </w:tcBorders>
            <w:shd w:val="clear" w:color="auto" w:fill="auto"/>
            <w:noWrap/>
            <w:vAlign w:val="bottom"/>
            <w:hideMark/>
          </w:tcPr>
          <w:p w14:paraId="46417AFB" w14:textId="77777777" w:rsidR="002A4FBC" w:rsidRPr="0085125A" w:rsidRDefault="002A4FBC" w:rsidP="002A4FBC">
            <w:pPr>
              <w:jc w:val="both"/>
              <w:rPr>
                <w:sz w:val="20"/>
                <w:szCs w:val="20"/>
              </w:rPr>
            </w:pPr>
            <w:r w:rsidRPr="0085125A">
              <w:rPr>
                <w:sz w:val="20"/>
                <w:szCs w:val="20"/>
              </w:rPr>
              <w:t>0.706***</w:t>
            </w:r>
          </w:p>
        </w:tc>
        <w:tc>
          <w:tcPr>
            <w:tcW w:w="1022" w:type="dxa"/>
            <w:tcBorders>
              <w:top w:val="nil"/>
              <w:left w:val="nil"/>
              <w:bottom w:val="nil"/>
              <w:right w:val="nil"/>
            </w:tcBorders>
            <w:shd w:val="clear" w:color="auto" w:fill="auto"/>
            <w:noWrap/>
            <w:vAlign w:val="bottom"/>
            <w:hideMark/>
          </w:tcPr>
          <w:p w14:paraId="5917DBFA" w14:textId="77777777" w:rsidR="002A4FBC" w:rsidRPr="0085125A" w:rsidRDefault="002A4FBC" w:rsidP="002A4FBC">
            <w:pPr>
              <w:jc w:val="both"/>
              <w:rPr>
                <w:sz w:val="20"/>
                <w:szCs w:val="20"/>
              </w:rPr>
            </w:pPr>
            <w:r w:rsidRPr="0085125A">
              <w:rPr>
                <w:sz w:val="20"/>
                <w:szCs w:val="20"/>
              </w:rPr>
              <w:t>0.201</w:t>
            </w:r>
          </w:p>
        </w:tc>
        <w:tc>
          <w:tcPr>
            <w:tcW w:w="937" w:type="dxa"/>
            <w:tcBorders>
              <w:top w:val="nil"/>
              <w:left w:val="nil"/>
              <w:bottom w:val="nil"/>
              <w:right w:val="nil"/>
            </w:tcBorders>
            <w:shd w:val="clear" w:color="auto" w:fill="auto"/>
            <w:noWrap/>
            <w:vAlign w:val="bottom"/>
            <w:hideMark/>
          </w:tcPr>
          <w:p w14:paraId="035EFC23" w14:textId="77777777" w:rsidR="002A4FBC" w:rsidRPr="0085125A" w:rsidRDefault="002A4FBC" w:rsidP="002A4FBC">
            <w:pPr>
              <w:jc w:val="both"/>
              <w:rPr>
                <w:sz w:val="20"/>
                <w:szCs w:val="20"/>
              </w:rPr>
            </w:pPr>
            <w:r w:rsidRPr="0085125A">
              <w:rPr>
                <w:sz w:val="20"/>
                <w:szCs w:val="20"/>
              </w:rPr>
              <w:t>0.306*</w:t>
            </w:r>
          </w:p>
        </w:tc>
        <w:tc>
          <w:tcPr>
            <w:tcW w:w="1022" w:type="dxa"/>
            <w:tcBorders>
              <w:top w:val="nil"/>
              <w:left w:val="nil"/>
              <w:bottom w:val="nil"/>
              <w:right w:val="nil"/>
            </w:tcBorders>
            <w:shd w:val="clear" w:color="auto" w:fill="auto"/>
            <w:noWrap/>
            <w:vAlign w:val="bottom"/>
            <w:hideMark/>
          </w:tcPr>
          <w:p w14:paraId="6DFB76EC" w14:textId="77777777" w:rsidR="002A4FBC" w:rsidRPr="0085125A" w:rsidRDefault="002A4FBC" w:rsidP="002A4FBC">
            <w:pPr>
              <w:jc w:val="both"/>
              <w:rPr>
                <w:sz w:val="20"/>
                <w:szCs w:val="20"/>
              </w:rPr>
            </w:pPr>
            <w:r w:rsidRPr="0085125A">
              <w:rPr>
                <w:sz w:val="20"/>
                <w:szCs w:val="20"/>
              </w:rPr>
              <w:t>1</w:t>
            </w:r>
          </w:p>
        </w:tc>
        <w:tc>
          <w:tcPr>
            <w:tcW w:w="1577" w:type="dxa"/>
            <w:tcBorders>
              <w:top w:val="nil"/>
              <w:left w:val="nil"/>
              <w:bottom w:val="nil"/>
              <w:right w:val="nil"/>
            </w:tcBorders>
            <w:shd w:val="clear" w:color="auto" w:fill="auto"/>
            <w:noWrap/>
            <w:vAlign w:val="bottom"/>
            <w:hideMark/>
          </w:tcPr>
          <w:p w14:paraId="630E1C04" w14:textId="77777777" w:rsidR="002A4FBC" w:rsidRPr="0085125A" w:rsidRDefault="002A4FBC" w:rsidP="002A4FBC">
            <w:pPr>
              <w:jc w:val="both"/>
              <w:rPr>
                <w:sz w:val="20"/>
                <w:szCs w:val="20"/>
              </w:rPr>
            </w:pPr>
          </w:p>
        </w:tc>
        <w:tc>
          <w:tcPr>
            <w:tcW w:w="1170" w:type="dxa"/>
            <w:tcBorders>
              <w:top w:val="nil"/>
              <w:left w:val="nil"/>
              <w:bottom w:val="nil"/>
              <w:right w:val="nil"/>
            </w:tcBorders>
            <w:shd w:val="clear" w:color="auto" w:fill="auto"/>
            <w:noWrap/>
            <w:vAlign w:val="bottom"/>
            <w:hideMark/>
          </w:tcPr>
          <w:p w14:paraId="2F55AF07" w14:textId="77777777" w:rsidR="002A4FBC" w:rsidRPr="0085125A" w:rsidRDefault="002A4FBC" w:rsidP="002A4FBC">
            <w:pPr>
              <w:jc w:val="both"/>
              <w:rPr>
                <w:sz w:val="20"/>
                <w:szCs w:val="20"/>
              </w:rPr>
            </w:pPr>
          </w:p>
        </w:tc>
        <w:tc>
          <w:tcPr>
            <w:tcW w:w="2074" w:type="dxa"/>
            <w:tcBorders>
              <w:top w:val="nil"/>
              <w:left w:val="nil"/>
              <w:bottom w:val="nil"/>
              <w:right w:val="nil"/>
            </w:tcBorders>
            <w:shd w:val="clear" w:color="auto" w:fill="auto"/>
            <w:noWrap/>
            <w:vAlign w:val="bottom"/>
            <w:hideMark/>
          </w:tcPr>
          <w:p w14:paraId="052876C3" w14:textId="77777777" w:rsidR="002A4FBC" w:rsidRPr="0085125A" w:rsidRDefault="002A4FBC" w:rsidP="002A4FBC">
            <w:pPr>
              <w:jc w:val="both"/>
              <w:rPr>
                <w:sz w:val="20"/>
                <w:szCs w:val="20"/>
              </w:rPr>
            </w:pPr>
          </w:p>
        </w:tc>
      </w:tr>
      <w:tr w:rsidR="00906C1D" w:rsidRPr="0085125A" w14:paraId="3FC50868" w14:textId="77777777" w:rsidTr="00906C1D">
        <w:trPr>
          <w:trHeight w:val="321"/>
        </w:trPr>
        <w:tc>
          <w:tcPr>
            <w:tcW w:w="1534" w:type="dxa"/>
            <w:tcBorders>
              <w:top w:val="nil"/>
              <w:left w:val="nil"/>
              <w:bottom w:val="nil"/>
              <w:right w:val="nil"/>
            </w:tcBorders>
            <w:shd w:val="clear" w:color="auto" w:fill="auto"/>
            <w:noWrap/>
            <w:vAlign w:val="bottom"/>
            <w:hideMark/>
          </w:tcPr>
          <w:p w14:paraId="2AB6BAA6" w14:textId="77777777" w:rsidR="002A4FBC" w:rsidRPr="0085125A" w:rsidRDefault="002A4FBC" w:rsidP="002A4FBC">
            <w:pPr>
              <w:jc w:val="both"/>
              <w:rPr>
                <w:sz w:val="20"/>
                <w:szCs w:val="20"/>
              </w:rPr>
            </w:pPr>
            <w:r w:rsidRPr="0085125A">
              <w:rPr>
                <w:sz w:val="20"/>
                <w:szCs w:val="20"/>
              </w:rPr>
              <w:t xml:space="preserve">Industrialization </w:t>
            </w:r>
          </w:p>
        </w:tc>
        <w:tc>
          <w:tcPr>
            <w:tcW w:w="1108" w:type="dxa"/>
            <w:tcBorders>
              <w:top w:val="nil"/>
              <w:left w:val="nil"/>
              <w:bottom w:val="nil"/>
              <w:right w:val="nil"/>
            </w:tcBorders>
            <w:shd w:val="clear" w:color="auto" w:fill="auto"/>
            <w:noWrap/>
            <w:vAlign w:val="bottom"/>
            <w:hideMark/>
          </w:tcPr>
          <w:p w14:paraId="3F233391" w14:textId="77777777" w:rsidR="002A4FBC" w:rsidRPr="0085125A" w:rsidRDefault="002A4FBC" w:rsidP="002A4FBC">
            <w:pPr>
              <w:jc w:val="both"/>
              <w:rPr>
                <w:sz w:val="20"/>
                <w:szCs w:val="20"/>
              </w:rPr>
            </w:pPr>
            <w:r w:rsidRPr="0085125A">
              <w:rPr>
                <w:sz w:val="20"/>
                <w:szCs w:val="20"/>
              </w:rPr>
              <w:t>0.470***</w:t>
            </w:r>
          </w:p>
        </w:tc>
        <w:tc>
          <w:tcPr>
            <w:tcW w:w="1022" w:type="dxa"/>
            <w:tcBorders>
              <w:top w:val="nil"/>
              <w:left w:val="nil"/>
              <w:bottom w:val="nil"/>
              <w:right w:val="nil"/>
            </w:tcBorders>
            <w:shd w:val="clear" w:color="auto" w:fill="auto"/>
            <w:noWrap/>
            <w:vAlign w:val="bottom"/>
            <w:hideMark/>
          </w:tcPr>
          <w:p w14:paraId="447E2388" w14:textId="77777777" w:rsidR="002A4FBC" w:rsidRPr="0085125A" w:rsidRDefault="002A4FBC" w:rsidP="002A4FBC">
            <w:pPr>
              <w:jc w:val="both"/>
              <w:rPr>
                <w:sz w:val="20"/>
                <w:szCs w:val="20"/>
              </w:rPr>
            </w:pPr>
            <w:r w:rsidRPr="0085125A">
              <w:rPr>
                <w:sz w:val="20"/>
                <w:szCs w:val="20"/>
              </w:rPr>
              <w:t>0.173</w:t>
            </w:r>
          </w:p>
        </w:tc>
        <w:tc>
          <w:tcPr>
            <w:tcW w:w="937" w:type="dxa"/>
            <w:tcBorders>
              <w:top w:val="nil"/>
              <w:left w:val="nil"/>
              <w:bottom w:val="nil"/>
              <w:right w:val="nil"/>
            </w:tcBorders>
            <w:shd w:val="clear" w:color="auto" w:fill="auto"/>
            <w:vAlign w:val="center"/>
            <w:hideMark/>
          </w:tcPr>
          <w:p w14:paraId="3625FACA" w14:textId="77777777" w:rsidR="002A4FBC" w:rsidRPr="0085125A" w:rsidRDefault="002A4FBC" w:rsidP="002A4FBC">
            <w:pPr>
              <w:jc w:val="both"/>
              <w:rPr>
                <w:sz w:val="20"/>
                <w:szCs w:val="20"/>
              </w:rPr>
            </w:pPr>
            <w:r w:rsidRPr="0085125A">
              <w:rPr>
                <w:sz w:val="20"/>
                <w:szCs w:val="20"/>
              </w:rPr>
              <w:t>-0.009</w:t>
            </w:r>
          </w:p>
        </w:tc>
        <w:tc>
          <w:tcPr>
            <w:tcW w:w="1022" w:type="dxa"/>
            <w:tcBorders>
              <w:top w:val="nil"/>
              <w:left w:val="nil"/>
              <w:bottom w:val="nil"/>
              <w:right w:val="nil"/>
            </w:tcBorders>
            <w:shd w:val="clear" w:color="auto" w:fill="auto"/>
            <w:noWrap/>
            <w:vAlign w:val="bottom"/>
            <w:hideMark/>
          </w:tcPr>
          <w:p w14:paraId="6A12DDD0" w14:textId="77777777" w:rsidR="002A4FBC" w:rsidRPr="0085125A" w:rsidRDefault="002A4FBC" w:rsidP="002A4FBC">
            <w:pPr>
              <w:jc w:val="both"/>
              <w:rPr>
                <w:sz w:val="20"/>
                <w:szCs w:val="20"/>
              </w:rPr>
            </w:pPr>
            <w:r w:rsidRPr="0085125A">
              <w:rPr>
                <w:sz w:val="20"/>
                <w:szCs w:val="20"/>
              </w:rPr>
              <w:t>0.476***</w:t>
            </w:r>
          </w:p>
        </w:tc>
        <w:tc>
          <w:tcPr>
            <w:tcW w:w="1577" w:type="dxa"/>
            <w:tcBorders>
              <w:top w:val="nil"/>
              <w:left w:val="nil"/>
              <w:bottom w:val="nil"/>
              <w:right w:val="nil"/>
            </w:tcBorders>
            <w:shd w:val="clear" w:color="auto" w:fill="auto"/>
            <w:noWrap/>
            <w:vAlign w:val="bottom"/>
            <w:hideMark/>
          </w:tcPr>
          <w:p w14:paraId="70D46ADF" w14:textId="77777777" w:rsidR="002A4FBC" w:rsidRPr="0085125A" w:rsidRDefault="002A4FBC" w:rsidP="002A4FBC">
            <w:pPr>
              <w:jc w:val="both"/>
              <w:rPr>
                <w:sz w:val="20"/>
                <w:szCs w:val="20"/>
              </w:rPr>
            </w:pPr>
            <w:r w:rsidRPr="0085125A">
              <w:rPr>
                <w:sz w:val="20"/>
                <w:szCs w:val="20"/>
              </w:rPr>
              <w:t>1</w:t>
            </w:r>
          </w:p>
        </w:tc>
        <w:tc>
          <w:tcPr>
            <w:tcW w:w="1170" w:type="dxa"/>
            <w:tcBorders>
              <w:top w:val="nil"/>
              <w:left w:val="nil"/>
              <w:bottom w:val="nil"/>
              <w:right w:val="nil"/>
            </w:tcBorders>
            <w:shd w:val="clear" w:color="auto" w:fill="auto"/>
            <w:noWrap/>
            <w:vAlign w:val="bottom"/>
            <w:hideMark/>
          </w:tcPr>
          <w:p w14:paraId="2014E5F3" w14:textId="77777777" w:rsidR="002A4FBC" w:rsidRPr="0085125A" w:rsidRDefault="002A4FBC" w:rsidP="002A4FBC">
            <w:pPr>
              <w:jc w:val="both"/>
              <w:rPr>
                <w:sz w:val="20"/>
                <w:szCs w:val="20"/>
              </w:rPr>
            </w:pPr>
          </w:p>
        </w:tc>
        <w:tc>
          <w:tcPr>
            <w:tcW w:w="2074" w:type="dxa"/>
            <w:tcBorders>
              <w:top w:val="nil"/>
              <w:left w:val="nil"/>
              <w:bottom w:val="nil"/>
              <w:right w:val="nil"/>
            </w:tcBorders>
            <w:shd w:val="clear" w:color="auto" w:fill="auto"/>
            <w:noWrap/>
            <w:vAlign w:val="bottom"/>
            <w:hideMark/>
          </w:tcPr>
          <w:p w14:paraId="5CC65558" w14:textId="77777777" w:rsidR="002A4FBC" w:rsidRPr="0085125A" w:rsidRDefault="002A4FBC" w:rsidP="002A4FBC">
            <w:pPr>
              <w:jc w:val="both"/>
              <w:rPr>
                <w:sz w:val="20"/>
                <w:szCs w:val="20"/>
              </w:rPr>
            </w:pPr>
          </w:p>
        </w:tc>
      </w:tr>
      <w:tr w:rsidR="00906C1D" w:rsidRPr="0085125A" w14:paraId="59F96389" w14:textId="77777777" w:rsidTr="00906C1D">
        <w:trPr>
          <w:trHeight w:val="321"/>
        </w:trPr>
        <w:tc>
          <w:tcPr>
            <w:tcW w:w="1534" w:type="dxa"/>
            <w:tcBorders>
              <w:top w:val="nil"/>
              <w:left w:val="nil"/>
              <w:bottom w:val="nil"/>
              <w:right w:val="nil"/>
            </w:tcBorders>
            <w:shd w:val="clear" w:color="auto" w:fill="auto"/>
            <w:vAlign w:val="center"/>
            <w:hideMark/>
          </w:tcPr>
          <w:p w14:paraId="04E045CB" w14:textId="77777777" w:rsidR="002A4FBC" w:rsidRPr="0085125A" w:rsidRDefault="002A4FBC" w:rsidP="002A4FBC">
            <w:pPr>
              <w:jc w:val="both"/>
              <w:rPr>
                <w:sz w:val="20"/>
                <w:szCs w:val="20"/>
              </w:rPr>
            </w:pPr>
            <w:r w:rsidRPr="0085125A">
              <w:rPr>
                <w:sz w:val="20"/>
                <w:szCs w:val="20"/>
              </w:rPr>
              <w:t>FDI%GDP</w:t>
            </w:r>
          </w:p>
        </w:tc>
        <w:tc>
          <w:tcPr>
            <w:tcW w:w="1108" w:type="dxa"/>
            <w:tcBorders>
              <w:top w:val="nil"/>
              <w:left w:val="nil"/>
              <w:bottom w:val="nil"/>
              <w:right w:val="nil"/>
            </w:tcBorders>
            <w:shd w:val="clear" w:color="auto" w:fill="auto"/>
            <w:noWrap/>
            <w:vAlign w:val="bottom"/>
            <w:hideMark/>
          </w:tcPr>
          <w:p w14:paraId="2AE21F37" w14:textId="77777777" w:rsidR="002A4FBC" w:rsidRPr="0085125A" w:rsidRDefault="002A4FBC" w:rsidP="002A4FBC">
            <w:pPr>
              <w:jc w:val="both"/>
              <w:rPr>
                <w:sz w:val="20"/>
                <w:szCs w:val="20"/>
              </w:rPr>
            </w:pPr>
            <w:r w:rsidRPr="0085125A">
              <w:rPr>
                <w:sz w:val="20"/>
                <w:szCs w:val="20"/>
              </w:rPr>
              <w:t>0.664***</w:t>
            </w:r>
          </w:p>
        </w:tc>
        <w:tc>
          <w:tcPr>
            <w:tcW w:w="1022" w:type="dxa"/>
            <w:tcBorders>
              <w:top w:val="nil"/>
              <w:left w:val="nil"/>
              <w:bottom w:val="nil"/>
              <w:right w:val="nil"/>
            </w:tcBorders>
            <w:shd w:val="clear" w:color="auto" w:fill="auto"/>
            <w:noWrap/>
            <w:vAlign w:val="bottom"/>
            <w:hideMark/>
          </w:tcPr>
          <w:p w14:paraId="3FD449BC" w14:textId="77777777" w:rsidR="002A4FBC" w:rsidRPr="0085125A" w:rsidRDefault="002A4FBC" w:rsidP="002A4FBC">
            <w:pPr>
              <w:jc w:val="both"/>
              <w:rPr>
                <w:sz w:val="20"/>
                <w:szCs w:val="20"/>
              </w:rPr>
            </w:pPr>
            <w:r w:rsidRPr="0085125A">
              <w:rPr>
                <w:sz w:val="20"/>
                <w:szCs w:val="20"/>
              </w:rPr>
              <w:t>0.815***</w:t>
            </w:r>
          </w:p>
        </w:tc>
        <w:tc>
          <w:tcPr>
            <w:tcW w:w="937" w:type="dxa"/>
            <w:tcBorders>
              <w:top w:val="nil"/>
              <w:left w:val="nil"/>
              <w:bottom w:val="nil"/>
              <w:right w:val="nil"/>
            </w:tcBorders>
            <w:shd w:val="clear" w:color="auto" w:fill="auto"/>
            <w:noWrap/>
            <w:vAlign w:val="bottom"/>
            <w:hideMark/>
          </w:tcPr>
          <w:p w14:paraId="4E1D9972" w14:textId="77777777" w:rsidR="002A4FBC" w:rsidRPr="0085125A" w:rsidRDefault="002A4FBC" w:rsidP="002A4FBC">
            <w:pPr>
              <w:jc w:val="both"/>
              <w:rPr>
                <w:sz w:val="20"/>
                <w:szCs w:val="20"/>
              </w:rPr>
            </w:pPr>
            <w:r w:rsidRPr="0085125A">
              <w:rPr>
                <w:sz w:val="20"/>
                <w:szCs w:val="20"/>
              </w:rPr>
              <w:t>0.558***</w:t>
            </w:r>
          </w:p>
        </w:tc>
        <w:tc>
          <w:tcPr>
            <w:tcW w:w="1022" w:type="dxa"/>
            <w:tcBorders>
              <w:top w:val="nil"/>
              <w:left w:val="nil"/>
              <w:bottom w:val="nil"/>
              <w:right w:val="nil"/>
            </w:tcBorders>
            <w:shd w:val="clear" w:color="auto" w:fill="auto"/>
            <w:noWrap/>
            <w:vAlign w:val="bottom"/>
            <w:hideMark/>
          </w:tcPr>
          <w:p w14:paraId="609496AF" w14:textId="77777777" w:rsidR="002A4FBC" w:rsidRPr="0085125A" w:rsidRDefault="002A4FBC" w:rsidP="002A4FBC">
            <w:pPr>
              <w:jc w:val="both"/>
              <w:rPr>
                <w:sz w:val="20"/>
                <w:szCs w:val="20"/>
              </w:rPr>
            </w:pPr>
            <w:r w:rsidRPr="0085125A">
              <w:rPr>
                <w:sz w:val="20"/>
                <w:szCs w:val="20"/>
              </w:rPr>
              <w:t>0.364**</w:t>
            </w:r>
          </w:p>
        </w:tc>
        <w:tc>
          <w:tcPr>
            <w:tcW w:w="1577" w:type="dxa"/>
            <w:tcBorders>
              <w:top w:val="nil"/>
              <w:left w:val="nil"/>
              <w:bottom w:val="nil"/>
              <w:right w:val="nil"/>
            </w:tcBorders>
            <w:shd w:val="clear" w:color="auto" w:fill="auto"/>
            <w:noWrap/>
            <w:vAlign w:val="bottom"/>
            <w:hideMark/>
          </w:tcPr>
          <w:p w14:paraId="3F65A379" w14:textId="77777777" w:rsidR="002A4FBC" w:rsidRPr="0085125A" w:rsidRDefault="002A4FBC" w:rsidP="002A4FBC">
            <w:pPr>
              <w:jc w:val="both"/>
              <w:rPr>
                <w:sz w:val="20"/>
                <w:szCs w:val="20"/>
              </w:rPr>
            </w:pPr>
            <w:r w:rsidRPr="0085125A">
              <w:rPr>
                <w:sz w:val="20"/>
                <w:szCs w:val="20"/>
              </w:rPr>
              <w:t>0.487***</w:t>
            </w:r>
          </w:p>
        </w:tc>
        <w:tc>
          <w:tcPr>
            <w:tcW w:w="1170" w:type="dxa"/>
            <w:tcBorders>
              <w:top w:val="nil"/>
              <w:left w:val="nil"/>
              <w:bottom w:val="nil"/>
              <w:right w:val="nil"/>
            </w:tcBorders>
            <w:shd w:val="clear" w:color="auto" w:fill="auto"/>
            <w:noWrap/>
            <w:vAlign w:val="bottom"/>
            <w:hideMark/>
          </w:tcPr>
          <w:p w14:paraId="393D2203" w14:textId="77777777" w:rsidR="002A4FBC" w:rsidRPr="0085125A" w:rsidRDefault="002A4FBC" w:rsidP="002A4FBC">
            <w:pPr>
              <w:jc w:val="both"/>
              <w:rPr>
                <w:sz w:val="20"/>
                <w:szCs w:val="20"/>
              </w:rPr>
            </w:pPr>
            <w:r w:rsidRPr="0085125A">
              <w:rPr>
                <w:sz w:val="20"/>
                <w:szCs w:val="20"/>
              </w:rPr>
              <w:t>1</w:t>
            </w:r>
          </w:p>
        </w:tc>
        <w:tc>
          <w:tcPr>
            <w:tcW w:w="2074" w:type="dxa"/>
            <w:tcBorders>
              <w:top w:val="nil"/>
              <w:left w:val="nil"/>
              <w:bottom w:val="nil"/>
              <w:right w:val="nil"/>
            </w:tcBorders>
            <w:shd w:val="clear" w:color="auto" w:fill="auto"/>
            <w:noWrap/>
            <w:vAlign w:val="bottom"/>
            <w:hideMark/>
          </w:tcPr>
          <w:p w14:paraId="794EAABF" w14:textId="77777777" w:rsidR="002A4FBC" w:rsidRPr="0085125A" w:rsidRDefault="002A4FBC" w:rsidP="002A4FBC">
            <w:pPr>
              <w:jc w:val="both"/>
              <w:rPr>
                <w:sz w:val="20"/>
                <w:szCs w:val="20"/>
              </w:rPr>
            </w:pPr>
          </w:p>
        </w:tc>
      </w:tr>
      <w:tr w:rsidR="00906C1D" w:rsidRPr="0085125A" w14:paraId="6D414D90" w14:textId="77777777" w:rsidTr="00906C1D">
        <w:trPr>
          <w:trHeight w:val="321"/>
        </w:trPr>
        <w:tc>
          <w:tcPr>
            <w:tcW w:w="1534" w:type="dxa"/>
            <w:tcBorders>
              <w:top w:val="nil"/>
              <w:left w:val="nil"/>
              <w:bottom w:val="single" w:sz="4" w:space="0" w:color="auto"/>
              <w:right w:val="nil"/>
            </w:tcBorders>
            <w:shd w:val="clear" w:color="auto" w:fill="auto"/>
            <w:vAlign w:val="center"/>
            <w:hideMark/>
          </w:tcPr>
          <w:p w14:paraId="4F6C6C3D" w14:textId="77777777" w:rsidR="002A4FBC" w:rsidRPr="0085125A" w:rsidRDefault="002A4FBC" w:rsidP="002A4FBC">
            <w:pPr>
              <w:jc w:val="both"/>
              <w:rPr>
                <w:sz w:val="20"/>
                <w:szCs w:val="20"/>
              </w:rPr>
            </w:pPr>
            <w:r w:rsidRPr="0085125A">
              <w:rPr>
                <w:sz w:val="20"/>
                <w:szCs w:val="20"/>
              </w:rPr>
              <w:t>Urbanization</w:t>
            </w:r>
          </w:p>
        </w:tc>
        <w:tc>
          <w:tcPr>
            <w:tcW w:w="1108" w:type="dxa"/>
            <w:tcBorders>
              <w:top w:val="nil"/>
              <w:left w:val="nil"/>
              <w:bottom w:val="single" w:sz="4" w:space="0" w:color="auto"/>
              <w:right w:val="nil"/>
            </w:tcBorders>
            <w:shd w:val="clear" w:color="auto" w:fill="auto"/>
            <w:noWrap/>
            <w:vAlign w:val="bottom"/>
            <w:hideMark/>
          </w:tcPr>
          <w:p w14:paraId="0D814877" w14:textId="77777777" w:rsidR="002A4FBC" w:rsidRPr="0085125A" w:rsidRDefault="002A4FBC" w:rsidP="002A4FBC">
            <w:pPr>
              <w:jc w:val="both"/>
              <w:rPr>
                <w:sz w:val="20"/>
                <w:szCs w:val="20"/>
              </w:rPr>
            </w:pPr>
            <w:r w:rsidRPr="0085125A">
              <w:rPr>
                <w:sz w:val="20"/>
                <w:szCs w:val="20"/>
              </w:rPr>
              <w:t>0.816***</w:t>
            </w:r>
          </w:p>
        </w:tc>
        <w:tc>
          <w:tcPr>
            <w:tcW w:w="1022" w:type="dxa"/>
            <w:tcBorders>
              <w:top w:val="nil"/>
              <w:left w:val="nil"/>
              <w:bottom w:val="single" w:sz="4" w:space="0" w:color="auto"/>
              <w:right w:val="nil"/>
            </w:tcBorders>
            <w:shd w:val="clear" w:color="auto" w:fill="auto"/>
            <w:noWrap/>
            <w:vAlign w:val="bottom"/>
            <w:hideMark/>
          </w:tcPr>
          <w:p w14:paraId="33C5AAB7" w14:textId="77777777" w:rsidR="002A4FBC" w:rsidRPr="0085125A" w:rsidRDefault="002A4FBC" w:rsidP="002A4FBC">
            <w:pPr>
              <w:jc w:val="both"/>
              <w:rPr>
                <w:sz w:val="20"/>
                <w:szCs w:val="20"/>
              </w:rPr>
            </w:pPr>
            <w:r w:rsidRPr="0085125A">
              <w:rPr>
                <w:sz w:val="20"/>
                <w:szCs w:val="20"/>
              </w:rPr>
              <w:t>0.573***</w:t>
            </w:r>
          </w:p>
        </w:tc>
        <w:tc>
          <w:tcPr>
            <w:tcW w:w="937" w:type="dxa"/>
            <w:tcBorders>
              <w:top w:val="nil"/>
              <w:left w:val="nil"/>
              <w:bottom w:val="single" w:sz="4" w:space="0" w:color="auto"/>
              <w:right w:val="nil"/>
            </w:tcBorders>
            <w:shd w:val="clear" w:color="auto" w:fill="auto"/>
            <w:noWrap/>
            <w:vAlign w:val="bottom"/>
            <w:hideMark/>
          </w:tcPr>
          <w:p w14:paraId="4132EBC6" w14:textId="77777777" w:rsidR="002A4FBC" w:rsidRPr="0085125A" w:rsidRDefault="002A4FBC" w:rsidP="002A4FBC">
            <w:pPr>
              <w:jc w:val="both"/>
              <w:rPr>
                <w:sz w:val="20"/>
                <w:szCs w:val="20"/>
              </w:rPr>
            </w:pPr>
            <w:r w:rsidRPr="0085125A">
              <w:rPr>
                <w:sz w:val="20"/>
                <w:szCs w:val="20"/>
              </w:rPr>
              <w:t>0.756***</w:t>
            </w:r>
          </w:p>
        </w:tc>
        <w:tc>
          <w:tcPr>
            <w:tcW w:w="1022" w:type="dxa"/>
            <w:tcBorders>
              <w:top w:val="nil"/>
              <w:left w:val="nil"/>
              <w:bottom w:val="single" w:sz="4" w:space="0" w:color="auto"/>
              <w:right w:val="nil"/>
            </w:tcBorders>
            <w:shd w:val="clear" w:color="auto" w:fill="auto"/>
            <w:noWrap/>
            <w:vAlign w:val="bottom"/>
            <w:hideMark/>
          </w:tcPr>
          <w:p w14:paraId="598BD4BC" w14:textId="77777777" w:rsidR="002A4FBC" w:rsidRPr="0085125A" w:rsidRDefault="002A4FBC" w:rsidP="002A4FBC">
            <w:pPr>
              <w:jc w:val="both"/>
              <w:rPr>
                <w:sz w:val="20"/>
                <w:szCs w:val="20"/>
              </w:rPr>
            </w:pPr>
            <w:r w:rsidRPr="0085125A">
              <w:rPr>
                <w:sz w:val="20"/>
                <w:szCs w:val="20"/>
              </w:rPr>
              <w:t>0.645***</w:t>
            </w:r>
          </w:p>
        </w:tc>
        <w:tc>
          <w:tcPr>
            <w:tcW w:w="1577" w:type="dxa"/>
            <w:tcBorders>
              <w:top w:val="nil"/>
              <w:left w:val="nil"/>
              <w:bottom w:val="single" w:sz="4" w:space="0" w:color="auto"/>
              <w:right w:val="nil"/>
            </w:tcBorders>
            <w:shd w:val="clear" w:color="auto" w:fill="auto"/>
            <w:noWrap/>
            <w:vAlign w:val="bottom"/>
            <w:hideMark/>
          </w:tcPr>
          <w:p w14:paraId="646D06E9" w14:textId="77777777" w:rsidR="002A4FBC" w:rsidRPr="0085125A" w:rsidRDefault="002A4FBC" w:rsidP="002A4FBC">
            <w:pPr>
              <w:jc w:val="both"/>
              <w:rPr>
                <w:sz w:val="20"/>
                <w:szCs w:val="20"/>
              </w:rPr>
            </w:pPr>
            <w:r w:rsidRPr="0085125A">
              <w:rPr>
                <w:sz w:val="20"/>
                <w:szCs w:val="20"/>
              </w:rPr>
              <w:t>0.320*</w:t>
            </w:r>
          </w:p>
        </w:tc>
        <w:tc>
          <w:tcPr>
            <w:tcW w:w="1170" w:type="dxa"/>
            <w:tcBorders>
              <w:top w:val="nil"/>
              <w:left w:val="nil"/>
              <w:bottom w:val="single" w:sz="4" w:space="0" w:color="auto"/>
              <w:right w:val="nil"/>
            </w:tcBorders>
            <w:shd w:val="clear" w:color="auto" w:fill="auto"/>
            <w:noWrap/>
            <w:vAlign w:val="bottom"/>
            <w:hideMark/>
          </w:tcPr>
          <w:p w14:paraId="45AF17F3" w14:textId="77777777" w:rsidR="002A4FBC" w:rsidRPr="0085125A" w:rsidRDefault="002A4FBC" w:rsidP="002A4FBC">
            <w:pPr>
              <w:jc w:val="both"/>
              <w:rPr>
                <w:sz w:val="20"/>
                <w:szCs w:val="20"/>
              </w:rPr>
            </w:pPr>
            <w:r w:rsidRPr="0085125A">
              <w:rPr>
                <w:sz w:val="20"/>
                <w:szCs w:val="20"/>
              </w:rPr>
              <w:t>0.497***</w:t>
            </w:r>
          </w:p>
        </w:tc>
        <w:tc>
          <w:tcPr>
            <w:tcW w:w="2074" w:type="dxa"/>
            <w:tcBorders>
              <w:top w:val="nil"/>
              <w:left w:val="nil"/>
              <w:bottom w:val="single" w:sz="4" w:space="0" w:color="auto"/>
              <w:right w:val="nil"/>
            </w:tcBorders>
            <w:shd w:val="clear" w:color="auto" w:fill="auto"/>
            <w:noWrap/>
            <w:vAlign w:val="bottom"/>
            <w:hideMark/>
          </w:tcPr>
          <w:p w14:paraId="6936900E" w14:textId="77777777" w:rsidR="002A4FBC" w:rsidRPr="0085125A" w:rsidRDefault="002A4FBC" w:rsidP="002A4FBC">
            <w:pPr>
              <w:jc w:val="both"/>
              <w:rPr>
                <w:sz w:val="20"/>
                <w:szCs w:val="20"/>
              </w:rPr>
            </w:pPr>
            <w:r w:rsidRPr="0085125A">
              <w:rPr>
                <w:sz w:val="20"/>
                <w:szCs w:val="20"/>
              </w:rPr>
              <w:t>1</w:t>
            </w:r>
          </w:p>
        </w:tc>
      </w:tr>
    </w:tbl>
    <w:p w14:paraId="7D497D67" w14:textId="77777777" w:rsidR="002A4FBC" w:rsidRPr="0085125A" w:rsidRDefault="002A4FBC" w:rsidP="002A4FBC">
      <w:pPr>
        <w:widowControl w:val="0"/>
        <w:adjustRightInd w:val="0"/>
        <w:spacing w:line="360" w:lineRule="auto"/>
        <w:jc w:val="both"/>
        <w:textAlignment w:val="baseline"/>
      </w:pPr>
      <w:r w:rsidRPr="0085125A">
        <w:rPr>
          <w:rFonts w:ascii="Garamond" w:hAnsi="Garamond"/>
          <w:i/>
          <w:iCs/>
        </w:rPr>
        <w:t>*** p&lt;0.01, ** p&lt;0.05, * p&lt;0.1</w:t>
      </w:r>
    </w:p>
    <w:p w14:paraId="075CCE6F" w14:textId="7244A2A8" w:rsidR="002A4FBC" w:rsidRPr="0085125A" w:rsidRDefault="002A4FBC" w:rsidP="002A4FBC">
      <w:pPr>
        <w:spacing w:after="200" w:line="360" w:lineRule="auto"/>
        <w:jc w:val="both"/>
      </w:pPr>
      <w:r w:rsidRPr="002F73C0">
        <w:rPr>
          <w:b/>
        </w:rPr>
        <w:t>Notes:</w:t>
      </w:r>
      <w:r w:rsidRPr="0085125A">
        <w:t xml:space="preserve"> The correlation matrix of the dependent and control variables are shown in this table 4. Variables for: Total final energy consumption, GDP per capita, industrial growth as a proxy of industrialization, foreign direct investment percentage to GDP, population growth, and urban population percentage of the total population. Except population growth and industrial growth,</w:t>
      </w:r>
      <w:r w:rsidR="00906C1D">
        <w:t xml:space="preserve"> </w:t>
      </w:r>
      <w:r w:rsidRPr="0085125A">
        <w:t xml:space="preserve">other variables expressed in logarithm form. The correlation result of all the control variables are </w:t>
      </w:r>
      <w:r w:rsidRPr="0085125A">
        <w:lastRenderedPageBreak/>
        <w:t xml:space="preserve">statistically and significantly correlated except the correlation between  industrial growth, population growth and GDP per capita.  </w:t>
      </w:r>
    </w:p>
    <w:p w14:paraId="0E682F1A" w14:textId="57ED825E" w:rsidR="002A4FBC" w:rsidRPr="0085125A" w:rsidRDefault="002A4FBC" w:rsidP="00755FA9">
      <w:pPr>
        <w:keepNext/>
        <w:keepLines/>
        <w:tabs>
          <w:tab w:val="left" w:pos="6383"/>
        </w:tabs>
        <w:spacing w:before="40" w:line="360" w:lineRule="auto"/>
        <w:jc w:val="both"/>
        <w:outlineLvl w:val="1"/>
        <w:rPr>
          <w:rFonts w:eastAsiaTheme="majorEastAsia"/>
          <w:b/>
        </w:rPr>
      </w:pPr>
      <w:bookmarkStart w:id="6" w:name="_Toc87879542"/>
      <w:bookmarkStart w:id="7" w:name="_Toc87879715"/>
      <w:r w:rsidRPr="0085125A">
        <w:rPr>
          <w:rFonts w:eastAsiaTheme="majorEastAsia"/>
          <w:b/>
        </w:rPr>
        <w:t>3.2. Empirical Strategy</w:t>
      </w:r>
      <w:bookmarkEnd w:id="6"/>
      <w:bookmarkEnd w:id="7"/>
      <w:r w:rsidRPr="0085125A">
        <w:rPr>
          <w:rFonts w:eastAsiaTheme="majorEastAsia"/>
          <w:b/>
        </w:rPr>
        <w:t xml:space="preserve"> </w:t>
      </w:r>
      <w:r w:rsidR="00755FA9">
        <w:rPr>
          <w:rFonts w:eastAsiaTheme="majorEastAsia"/>
          <w:b/>
        </w:rPr>
        <w:tab/>
      </w:r>
    </w:p>
    <w:p w14:paraId="4DE3A374" w14:textId="77777777" w:rsidR="002A4FBC" w:rsidRPr="0085125A" w:rsidRDefault="002A4FBC" w:rsidP="002A4FBC">
      <w:pPr>
        <w:keepNext/>
        <w:keepLines/>
        <w:spacing w:before="40" w:line="360" w:lineRule="auto"/>
        <w:jc w:val="both"/>
        <w:outlineLvl w:val="2"/>
        <w:rPr>
          <w:rFonts w:eastAsiaTheme="majorEastAsia"/>
          <w:b/>
        </w:rPr>
      </w:pPr>
      <w:bookmarkStart w:id="8" w:name="_Toc87879543"/>
      <w:bookmarkStart w:id="9" w:name="_Toc87879716"/>
      <w:r w:rsidRPr="0085125A">
        <w:rPr>
          <w:rFonts w:eastAsiaTheme="majorEastAsia"/>
          <w:b/>
        </w:rPr>
        <w:t>3.2.1. Model specification</w:t>
      </w:r>
      <w:bookmarkEnd w:id="8"/>
      <w:bookmarkEnd w:id="9"/>
    </w:p>
    <w:p w14:paraId="31027D05" w14:textId="27491D46" w:rsidR="002A4FBC" w:rsidRPr="0085125A" w:rsidRDefault="002B26B5" w:rsidP="002A4FBC">
      <w:pPr>
        <w:spacing w:after="200" w:line="360" w:lineRule="auto"/>
        <w:jc w:val="both"/>
        <w:rPr>
          <w:lang w:val="en-ZA"/>
        </w:rPr>
      </w:pPr>
      <w:r>
        <w:rPr>
          <w:lang w:val="en-ZA"/>
        </w:rPr>
        <w:t>To examine</w:t>
      </w:r>
      <w:r w:rsidR="002A4FBC" w:rsidRPr="0085125A">
        <w:rPr>
          <w:lang w:val="en-ZA"/>
        </w:rPr>
        <w:t xml:space="preserve"> the determinant</w:t>
      </w:r>
      <w:r>
        <w:rPr>
          <w:lang w:val="en-ZA"/>
        </w:rPr>
        <w:t>s</w:t>
      </w:r>
      <w:r w:rsidR="002A4FBC" w:rsidRPr="0085125A">
        <w:rPr>
          <w:lang w:val="en-ZA"/>
        </w:rPr>
        <w:t xml:space="preserve"> of energy consumption in Rwanda, the study employs time seri</w:t>
      </w:r>
      <w:r>
        <w:rPr>
          <w:lang w:val="en-ZA"/>
        </w:rPr>
        <w:t xml:space="preserve">es data and two-stepwise </w:t>
      </w:r>
      <w:r w:rsidR="002A4FBC" w:rsidRPr="0085125A">
        <w:rPr>
          <w:lang w:val="en-ZA"/>
        </w:rPr>
        <w:t xml:space="preserve">analytical frameworks. The empirical model (1) is based on the assumption that total final energy consumption is determined by foreign direct investment (FDI), industrialization, population growth, GDP per capita, Urbanization, and Trade openness. This empirical model seeks to identify the nature and relevance of the macro determinants in the empirical model. This study follows the following nested stages of analysis: </w:t>
      </w:r>
    </w:p>
    <w:p w14:paraId="47830787" w14:textId="66387C03" w:rsidR="002A4FBC" w:rsidRPr="0085125A" w:rsidRDefault="002A4FBC" w:rsidP="002A4FBC">
      <w:pPr>
        <w:spacing w:after="200" w:line="360" w:lineRule="auto"/>
        <w:jc w:val="both"/>
        <w:rPr>
          <w:lang w:val="en-ZA"/>
        </w:rPr>
      </w:pPr>
      <w:r w:rsidRPr="0085125A">
        <w:rPr>
          <w:lang w:val="en-ZA"/>
        </w:rPr>
        <w:t xml:space="preserve">Firstly, the study employs the ordinary least square (OLS) as the baseline model, however, empirically, OLS is criticized for being subjected to the endogeneity bias. For instance, economic growth might influence energy consumption and </w:t>
      </w:r>
      <w:r w:rsidR="00BF7164" w:rsidRPr="00BF7164">
        <w:rPr>
          <w:lang w:val="en-ZA"/>
        </w:rPr>
        <w:t>energy consumption might influence economic growth (reverse causality)</w:t>
      </w:r>
      <w:r w:rsidRPr="0085125A">
        <w:rPr>
          <w:lang w:val="en-ZA"/>
        </w:rPr>
        <w:t xml:space="preserve"> mostly at early phases of economic growth and development. </w:t>
      </w:r>
      <w:r w:rsidR="002B26B5">
        <w:rPr>
          <w:lang w:val="en-ZA"/>
        </w:rPr>
        <w:t xml:space="preserve">We address the existing empirical the problem </w:t>
      </w:r>
      <w:r w:rsidRPr="0085125A">
        <w:rPr>
          <w:lang w:val="en-ZA"/>
        </w:rPr>
        <w:t>of endogeneity bias</w:t>
      </w:r>
      <w:r w:rsidR="002B26B5">
        <w:rPr>
          <w:lang w:val="en-ZA"/>
        </w:rPr>
        <w:t xml:space="preserve"> </w:t>
      </w:r>
      <w:r w:rsidRPr="0085125A">
        <w:rPr>
          <w:lang w:val="en-ZA"/>
        </w:rPr>
        <w:t xml:space="preserve">by </w:t>
      </w:r>
      <w:r w:rsidR="002B26B5">
        <w:rPr>
          <w:lang w:val="en-ZA"/>
        </w:rPr>
        <w:t xml:space="preserve">employing </w:t>
      </w:r>
      <w:r w:rsidRPr="0085125A">
        <w:rPr>
          <w:lang w:val="en-ZA"/>
        </w:rPr>
        <w:t xml:space="preserve">the causal estimation techniques. </w:t>
      </w:r>
    </w:p>
    <w:p w14:paraId="08C4904D" w14:textId="1165AA33" w:rsidR="002A4FBC" w:rsidRPr="0085125A" w:rsidRDefault="002A4FBC" w:rsidP="002A4FBC">
      <w:pPr>
        <w:spacing w:after="200" w:line="360" w:lineRule="auto"/>
        <w:jc w:val="both"/>
        <w:rPr>
          <w:lang w:val="en-ZA"/>
        </w:rPr>
      </w:pPr>
      <w:r w:rsidRPr="0085125A">
        <w:rPr>
          <w:lang w:val="en-ZA"/>
        </w:rPr>
        <w:t xml:space="preserve"> Secondly, the study emplo</w:t>
      </w:r>
      <w:r w:rsidR="00BF7164">
        <w:rPr>
          <w:lang w:val="en-ZA"/>
        </w:rPr>
        <w:t>ys causal estimation techniques, for instance, granger causality</w:t>
      </w:r>
      <w:r w:rsidR="00BF7164" w:rsidRPr="0085125A">
        <w:rPr>
          <w:lang w:val="en-ZA"/>
        </w:rPr>
        <w:t xml:space="preserve"> </w:t>
      </w:r>
      <w:r w:rsidRPr="0085125A">
        <w:rPr>
          <w:lang w:val="en-ZA"/>
        </w:rPr>
        <w:t>to study the short and long-run causality among the total final energy usage- as dependent variable and the control variables. The unit root tests are used to determine whether the time series data of studied variables are stationary before attempting to identify whether the variables are cointegrated. The cointegration technique is used to examine</w:t>
      </w:r>
      <w:r w:rsidR="00670C4C" w:rsidRPr="0085125A">
        <w:rPr>
          <w:lang w:val="en-ZA"/>
        </w:rPr>
        <w:t xml:space="preserve"> </w:t>
      </w:r>
      <w:r w:rsidRPr="0085125A">
        <w:rPr>
          <w:lang w:val="en-ZA"/>
        </w:rPr>
        <w:t>the long-term relationship between the dependent variable and control variables. Thirdly, the granger causality test is employed to examine the direction of causality. The out</w:t>
      </w:r>
      <w:r w:rsidR="00BF7164">
        <w:rPr>
          <w:lang w:val="en-ZA"/>
        </w:rPr>
        <w:t>comes could be unidirectional, B</w:t>
      </w:r>
      <w:r w:rsidRPr="0085125A">
        <w:rPr>
          <w:lang w:val="en-ZA"/>
        </w:rPr>
        <w:t>i</w:t>
      </w:r>
      <w:r w:rsidR="00BF7164">
        <w:rPr>
          <w:lang w:val="en-ZA"/>
        </w:rPr>
        <w:t>-</w:t>
      </w:r>
      <w:r w:rsidRPr="0085125A">
        <w:rPr>
          <w:lang w:val="en-ZA"/>
        </w:rPr>
        <w:t>directional, or there could be no causality at all. Lastly, the Error Correction Model (ECM) is employed to s</w:t>
      </w:r>
      <w:r w:rsidR="001E6F9F">
        <w:rPr>
          <w:lang w:val="en-ZA"/>
        </w:rPr>
        <w:t xml:space="preserve">tudy the short and long-run nature of causality </w:t>
      </w:r>
      <w:r w:rsidRPr="0085125A">
        <w:rPr>
          <w:lang w:val="en-ZA"/>
        </w:rPr>
        <w:t>between total final energy demand and the control variables, the direction of causality.</w:t>
      </w:r>
    </w:p>
    <w:p w14:paraId="77E08DAC" w14:textId="77777777" w:rsidR="002A4FBC" w:rsidRPr="0085125A" w:rsidRDefault="002A4FBC" w:rsidP="002A4FBC">
      <w:pPr>
        <w:spacing w:after="200" w:line="360" w:lineRule="auto"/>
        <w:jc w:val="both"/>
        <w:rPr>
          <w:lang w:val="en-ZA"/>
        </w:rPr>
      </w:pPr>
      <w:r w:rsidRPr="0085125A">
        <w:rPr>
          <w:lang w:val="en-ZA"/>
        </w:rPr>
        <w:t>We estimate the baseline as follows:</w:t>
      </w:r>
    </w:p>
    <w:p w14:paraId="7CA7E60F" w14:textId="1F1FD367" w:rsidR="002A4FBC" w:rsidRPr="0085125A" w:rsidRDefault="00326B0D" w:rsidP="002A4FBC">
      <w:pPr>
        <w:spacing w:after="200" w:line="360" w:lineRule="auto"/>
        <w:jc w:val="both"/>
      </w:pPr>
      <m:oMath>
        <m:sSub>
          <m:sSubPr>
            <m:ctrlPr>
              <w:rPr>
                <w:rFonts w:ascii="Cambria Math" w:hAnsi="Cambria Math"/>
                <w:i/>
              </w:rPr>
            </m:ctrlPr>
          </m:sSubPr>
          <m:e>
            <m:r>
              <w:rPr>
                <w:rFonts w:ascii="Cambria Math" w:hAnsi="Cambria Math"/>
              </w:rPr>
              <m:t xml:space="preserve">       TFEC</m:t>
            </m:r>
          </m:e>
          <m:sub>
            <m:r>
              <w:rPr>
                <w:rFonts w:ascii="Cambria Math" w:hAnsi="Cambria Math"/>
              </w:rPr>
              <m:t>t</m:t>
            </m:r>
          </m:sub>
        </m:sSub>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GDPpc</m:t>
                </m:r>
              </m:e>
              <m:sub>
                <m:r>
                  <w:rPr>
                    <w:rFonts w:ascii="Cambria Math" w:hAnsi="Cambria Math"/>
                  </w:rPr>
                  <m:t>t</m:t>
                </m:r>
              </m:sub>
            </m:sSub>
          </m:e>
        </m:nary>
        <m:r>
          <w:rPr>
            <w:rFonts w:ascii="Cambria Math" w:hAnsi="Cambria Math"/>
          </w:rPr>
          <m:t>,</m:t>
        </m:r>
        <m:sSub>
          <m:sSubPr>
            <m:ctrlPr>
              <w:rPr>
                <w:rFonts w:ascii="Cambria Math" w:hAnsi="Cambria Math"/>
                <w:i/>
              </w:rPr>
            </m:ctrlPr>
          </m:sSubPr>
          <m:e>
            <m:r>
              <w:rPr>
                <w:rFonts w:ascii="Cambria Math" w:hAnsi="Cambria Math"/>
              </w:rPr>
              <m:t>Pop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Urb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Ind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FDI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TOT</m:t>
            </m:r>
          </m:e>
          <m:sub>
            <m:r>
              <w:rPr>
                <w:rFonts w:ascii="Cambria Math" w:hAnsi="Cambria Math"/>
              </w:rPr>
              <m:t>t</m:t>
            </m:r>
          </m:sub>
        </m:sSub>
        <m:r>
          <w:rPr>
            <w:rFonts w:ascii="Cambria Math" w:hAnsi="Cambria Math"/>
          </w:rPr>
          <m:t>)…………………………………….</m:t>
        </m:r>
      </m:oMath>
      <w:r w:rsidR="002A4FBC" w:rsidRPr="0085125A">
        <w:t>(1)</w:t>
      </w:r>
    </w:p>
    <w:p w14:paraId="5031C0EA" w14:textId="175D4AEF" w:rsidR="002A4FBC" w:rsidRPr="0085125A" w:rsidRDefault="002A4FBC" w:rsidP="002A4FBC">
      <w:pPr>
        <w:spacing w:after="200" w:line="360" w:lineRule="auto"/>
        <w:jc w:val="both"/>
      </w:pPr>
      <w:r w:rsidRPr="0085125A">
        <w:lastRenderedPageBreak/>
        <w:t>The model is stated as Eq.2 after assuming a relationship among the variables.</w:t>
      </w:r>
      <m:oMath>
        <m:sSub>
          <m:sSubPr>
            <m:ctrlPr>
              <w:rPr>
                <w:rFonts w:ascii="Cambria Math" w:hAnsi="Cambria Math"/>
                <w:i/>
              </w:rPr>
            </m:ctrlPr>
          </m:sSubPr>
          <m:e>
            <m:r>
              <w:rPr>
                <w:rFonts w:ascii="Cambria Math" w:hAnsi="Cambria Math"/>
              </w:rPr>
              <m:t>TFEC</m:t>
            </m:r>
          </m:e>
          <m:sub>
            <m:r>
              <w:rPr>
                <w:rFonts w:ascii="Cambria Math" w:hAnsi="Cambria Math"/>
              </w:rPr>
              <m:t>t</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sSub>
              <m:sSubPr>
                <m:ctrlPr>
                  <w:rPr>
                    <w:rFonts w:ascii="Cambria Math" w:hAnsi="Cambria Math"/>
                    <w:i/>
                  </w:rPr>
                </m:ctrlPr>
              </m:sSubPr>
              <m:e>
                <m:r>
                  <w:rPr>
                    <w:rFonts w:ascii="Cambria Math" w:hAnsi="Cambria Math"/>
                  </w:rPr>
                  <m:t>GDPpc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Pop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Urb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Ind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FDI</m:t>
            </m:r>
          </m:e>
          <m:sub>
            <m:r>
              <w:rPr>
                <w:rFonts w:ascii="Cambria Math" w:hAnsi="Cambria Math"/>
              </w:rPr>
              <m:t>t</m:t>
            </m:r>
          </m:sub>
        </m:sSub>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TOT+</m:t>
        </m:r>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hint="eastAsia"/>
          </w:rPr>
          <m:t>………</m:t>
        </m:r>
        <m:r>
          <w:rPr>
            <w:rFonts w:ascii="Cambria Math" w:hAnsi="Cambria Math"/>
          </w:rPr>
          <m:t xml:space="preserve">   (2) </m:t>
        </m:r>
      </m:oMath>
    </w:p>
    <w:p w14:paraId="1FC2A767" w14:textId="7A0BFED9" w:rsidR="002A4FBC" w:rsidRPr="0085125A" w:rsidRDefault="002A4FBC" w:rsidP="002A4FBC">
      <w:pPr>
        <w:spacing w:after="200" w:line="360" w:lineRule="auto"/>
        <w:jc w:val="both"/>
      </w:pPr>
      <w:r w:rsidRPr="0085125A">
        <w:t xml:space="preserve">To capture </w:t>
      </w:r>
      <w:r w:rsidR="001D67CF" w:rsidRPr="001D67CF">
        <w:t>semi-elasticities</w:t>
      </w:r>
      <w:r w:rsidRPr="0085125A">
        <w:t xml:space="preserve">, the variables </w:t>
      </w:r>
      <w:r w:rsidR="001E6F9F">
        <w:t xml:space="preserve">were </w:t>
      </w:r>
      <w:r w:rsidRPr="0085125A">
        <w:t xml:space="preserve">transformed into logarithmic form, turning Eq (2) into the log-linear specification, empirical model as follows:  </w:t>
      </w:r>
    </w:p>
    <w:p w14:paraId="099CDE75" w14:textId="1C88E776" w:rsidR="002A4FBC" w:rsidRPr="001E6F9F" w:rsidRDefault="002A4FBC" w:rsidP="002A4FBC">
      <w:pPr>
        <w:spacing w:after="200" w:line="360" w:lineRule="auto"/>
        <w:jc w:val="both"/>
        <w:rPr>
          <w:bCs/>
          <w:i/>
          <w:iCs/>
        </w:rPr>
      </w:pPr>
      <w:r w:rsidRPr="001E6F9F">
        <w:rPr>
          <w:bCs/>
          <w:i/>
          <w:iCs/>
        </w:rPr>
        <w:t>ln</w:t>
      </w:r>
      <m:oMath>
        <m:sSub>
          <m:sSubPr>
            <m:ctrlPr>
              <w:rPr>
                <w:rFonts w:ascii="Cambria Math" w:hAnsi="Cambria Math"/>
                <w:bCs/>
                <w:i/>
                <w:iCs/>
              </w:rPr>
            </m:ctrlPr>
          </m:sSubPr>
          <m:e>
            <m:r>
              <w:rPr>
                <w:rFonts w:ascii="Cambria Math" w:hAnsi="Cambria Math"/>
              </w:rPr>
              <m:t>TFEC</m:t>
            </m:r>
          </m:e>
          <m:sub>
            <m:r>
              <w:rPr>
                <w:rFonts w:ascii="Cambria Math" w:hAnsi="Cambria Math"/>
              </w:rPr>
              <m:t>t</m:t>
            </m:r>
          </m:sub>
        </m:sSub>
        <m:r>
          <w:rPr>
            <w:rFonts w:ascii="Cambria Math" w:hAnsi="Cambria Math"/>
          </w:rPr>
          <m:t>=α+</m:t>
        </m:r>
        <m:sSub>
          <m:sSubPr>
            <m:ctrlPr>
              <w:rPr>
                <w:rFonts w:ascii="Cambria Math" w:hAnsi="Cambria Math"/>
                <w:bCs/>
                <w:i/>
                <w:iCs/>
              </w:rPr>
            </m:ctrlPr>
          </m:sSubPr>
          <m:e>
            <m:r>
              <w:rPr>
                <w:rFonts w:ascii="Cambria Math" w:hAnsi="Cambria Math"/>
              </w:rPr>
              <m:t>β</m:t>
            </m:r>
          </m:e>
          <m:sub>
            <m:r>
              <w:rPr>
                <w:rFonts w:ascii="Cambria Math" w:hAnsi="Cambria Math"/>
              </w:rPr>
              <m:t>1</m:t>
            </m:r>
          </m:sub>
        </m:sSub>
        <m:r>
          <w:rPr>
            <w:rFonts w:ascii="Cambria Math" w:hAnsi="Cambria Math"/>
          </w:rPr>
          <m:t>ln</m:t>
        </m:r>
        <m:sSub>
          <m:sSubPr>
            <m:ctrlPr>
              <w:rPr>
                <w:rFonts w:ascii="Cambria Math" w:hAnsi="Cambria Math"/>
                <w:bCs/>
                <w:i/>
                <w:iCs/>
              </w:rPr>
            </m:ctrlPr>
          </m:sSubPr>
          <m:e>
            <m:sSub>
              <m:sSubPr>
                <m:ctrlPr>
                  <w:rPr>
                    <w:rFonts w:ascii="Cambria Math" w:hAnsi="Cambria Math"/>
                    <w:bCs/>
                    <w:i/>
                    <w:iCs/>
                  </w:rPr>
                </m:ctrlPr>
              </m:sSubPr>
              <m:e>
                <m:r>
                  <w:rPr>
                    <w:rFonts w:ascii="Cambria Math" w:hAnsi="Cambria Math"/>
                  </w:rPr>
                  <m:t>GDP</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2</m:t>
                </m:r>
              </m:sub>
            </m:sSub>
            <m:r>
              <w:rPr>
                <w:rFonts w:ascii="Cambria Math" w:hAnsi="Cambria Math"/>
              </w:rPr>
              <m:t>Pop</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3</m:t>
            </m:r>
          </m:sub>
        </m:sSub>
        <m:r>
          <w:rPr>
            <w:rFonts w:ascii="Cambria Math" w:hAnsi="Cambria Math"/>
          </w:rPr>
          <m:t>ln</m:t>
        </m:r>
        <m:sSub>
          <m:sSubPr>
            <m:ctrlPr>
              <w:rPr>
                <w:rFonts w:ascii="Cambria Math" w:hAnsi="Cambria Math"/>
                <w:bCs/>
                <w:i/>
                <w:iCs/>
              </w:rPr>
            </m:ctrlPr>
          </m:sSubPr>
          <m:e>
            <m:r>
              <w:rPr>
                <w:rFonts w:ascii="Cambria Math" w:hAnsi="Cambria Math"/>
              </w:rPr>
              <m:t>Urb</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4</m:t>
            </m:r>
          </m:sub>
        </m:sSub>
        <m:r>
          <w:rPr>
            <w:rFonts w:ascii="Cambria Math" w:hAnsi="Cambria Math"/>
          </w:rPr>
          <m:t>ln</m:t>
        </m:r>
        <m:sSub>
          <m:sSubPr>
            <m:ctrlPr>
              <w:rPr>
                <w:rFonts w:ascii="Cambria Math" w:hAnsi="Cambria Math"/>
                <w:bCs/>
                <w:i/>
                <w:iCs/>
              </w:rPr>
            </m:ctrlPr>
          </m:sSubPr>
          <m:e>
            <m:r>
              <w:rPr>
                <w:rFonts w:ascii="Cambria Math" w:hAnsi="Cambria Math"/>
              </w:rPr>
              <m:t>FDI</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5</m:t>
            </m:r>
          </m:sub>
        </m:sSub>
        <m:sSub>
          <m:sSubPr>
            <m:ctrlPr>
              <w:rPr>
                <w:rFonts w:ascii="Cambria Math" w:hAnsi="Cambria Math"/>
                <w:bCs/>
                <w:i/>
                <w:iCs/>
              </w:rPr>
            </m:ctrlPr>
          </m:sSubPr>
          <m:e>
            <m:r>
              <w:rPr>
                <w:rFonts w:ascii="Cambria Math" w:hAnsi="Cambria Math"/>
              </w:rPr>
              <m:t>Ind</m:t>
            </m:r>
          </m:e>
          <m:sub>
            <m:r>
              <w:rPr>
                <w:rFonts w:ascii="Cambria Math" w:hAnsi="Cambria Math"/>
              </w:rPr>
              <m:t>t</m:t>
            </m:r>
          </m:sub>
        </m:sSub>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lnTOT</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 xml:space="preserve">   </m:t>
        </m:r>
      </m:oMath>
    </w:p>
    <w:p w14:paraId="620EDF48" w14:textId="490D941A" w:rsidR="002A4FBC" w:rsidRPr="001E6F9F" w:rsidRDefault="002A4FBC" w:rsidP="002A4FBC">
      <w:pPr>
        <w:spacing w:after="200" w:line="360" w:lineRule="auto"/>
        <w:jc w:val="both"/>
      </w:pPr>
      <w:r w:rsidRPr="001E6F9F">
        <w:t xml:space="preserve">Where, </w:t>
      </w:r>
      <m:oMath>
        <m:r>
          <w:rPr>
            <w:rFonts w:ascii="Cambria Math" w:hAnsi="Cambria Math"/>
          </w:rPr>
          <m:t>TFEC</m:t>
        </m:r>
      </m:oMath>
      <w:r w:rsidRPr="001E6F9F">
        <w:t xml:space="preserve"> is the total final energy consumption expressed in terajoule, α is an intercept, β1, β</w:t>
      </w:r>
      <w:r w:rsidRPr="001E6F9F">
        <w:rPr>
          <w:vertAlign w:val="subscript"/>
        </w:rPr>
        <w:t>2</w:t>
      </w:r>
      <w:r w:rsidRPr="001E6F9F">
        <w:t>, β</w:t>
      </w:r>
      <w:r w:rsidRPr="001E6F9F">
        <w:rPr>
          <w:vertAlign w:val="subscript"/>
        </w:rPr>
        <w:t>3</w:t>
      </w:r>
      <w:r w:rsidRPr="001E6F9F">
        <w:t>, β</w:t>
      </w:r>
      <w:r w:rsidRPr="001E6F9F">
        <w:rPr>
          <w:vertAlign w:val="subscript"/>
        </w:rPr>
        <w:t>4</w:t>
      </w:r>
      <w:r w:rsidRPr="001E6F9F">
        <w:t>, β</w:t>
      </w:r>
      <w:r w:rsidRPr="001E6F9F">
        <w:rPr>
          <w:vertAlign w:val="subscript"/>
        </w:rPr>
        <w:t>5</w:t>
      </w:r>
      <w:r w:rsidRPr="001E6F9F">
        <w:t xml:space="preserve"> and β</w:t>
      </w:r>
      <w:r w:rsidRPr="001E6F9F">
        <w:rPr>
          <w:vertAlign w:val="subscript"/>
        </w:rPr>
        <w:t>6</w:t>
      </w:r>
      <w:r w:rsidRPr="001E6F9F">
        <w:t xml:space="preserve"> respectively denote the elasticit</w:t>
      </w:r>
      <w:r w:rsidR="00CF5801">
        <w:t xml:space="preserve">y coefficients of </w:t>
      </w:r>
      <w:r w:rsidRPr="001E6F9F">
        <w:t>GDP per capita at constant (2015) US$, population growth rate (POP), Urb denotes urban population, a measure of urban population percentage of total population as proxy of urbanization, Ind</w:t>
      </w:r>
      <w:r w:rsidR="00CF5801">
        <w:t>u</w:t>
      </w:r>
      <w:r w:rsidRPr="001E6F9F">
        <w:t xml:space="preserve"> denotes measures industrial growth as proxy of industrialization , FDI is the measure of foreign direct investment as a percentage of GDP used to represent the impact of external sources on growth, </w:t>
      </w:r>
      <w:r w:rsidR="00943B64" w:rsidRPr="001E6F9F">
        <w:t>TOT</w:t>
      </w:r>
      <w:r w:rsidRPr="001E6F9F">
        <w:t xml:space="preserve"> is the measure of openness to trade for Rwandan economy measured as the ratio of the total of exports and imports to GDP which are parameters/coefficients of interest,  </w:t>
      </w:r>
      <w:r w:rsidRPr="001E6F9F">
        <w:rPr>
          <w:i/>
        </w:rPr>
        <w:t>t</w:t>
      </w:r>
      <w:r w:rsidRPr="001E6F9F">
        <w:t xml:space="preserve"> denotes time period, and Ɛ</w:t>
      </w:r>
      <w:r w:rsidRPr="001E6F9F">
        <w:rPr>
          <w:vertAlign w:val="subscript"/>
        </w:rPr>
        <w:t>t</w:t>
      </w:r>
      <w:r w:rsidRPr="001E6F9F">
        <w:t xml:space="preserve"> is an error term. </w:t>
      </w:r>
    </w:p>
    <w:p w14:paraId="6F98B082" w14:textId="440D81A3" w:rsidR="002A4FBC" w:rsidRPr="001E6F9F" w:rsidRDefault="002A4FBC" w:rsidP="002A4FBC">
      <w:pPr>
        <w:spacing w:after="200" w:line="360" w:lineRule="auto"/>
        <w:jc w:val="both"/>
      </w:pPr>
      <w:r w:rsidRPr="001E6F9F">
        <w:t>T</w:t>
      </w:r>
      <w:r w:rsidR="00CF5801">
        <w:t xml:space="preserve">he model three (3) is transformed into model four (4) </w:t>
      </w:r>
      <w:r w:rsidRPr="001E6F9F">
        <w:t>capture</w:t>
      </w:r>
      <w:r w:rsidR="00CF5801">
        <w:t>s</w:t>
      </w:r>
      <w:r w:rsidRPr="001E6F9F">
        <w:t xml:space="preserve"> the interaction between industrialization and trade openness in Rwanda</w:t>
      </w:r>
      <w:r w:rsidR="00CF5801">
        <w:t xml:space="preserve"> to determine how trade openness moderates energy consumption through industrialization</w:t>
      </w:r>
      <w:r w:rsidRPr="001E6F9F">
        <w:t xml:space="preserve">. </w:t>
      </w:r>
    </w:p>
    <w:p w14:paraId="4FB865E2" w14:textId="6B8BAD30" w:rsidR="00816AFE" w:rsidRPr="001E6F9F" w:rsidRDefault="002A4FBC" w:rsidP="002A4FBC">
      <w:pPr>
        <w:spacing w:after="200" w:line="360" w:lineRule="auto"/>
        <w:jc w:val="both"/>
        <w:rPr>
          <w:rFonts w:eastAsiaTheme="minorEastAsia"/>
          <w:i/>
        </w:rPr>
      </w:pPr>
      <w:r w:rsidRPr="001E6F9F">
        <w:rPr>
          <w:bCs/>
          <w:i/>
          <w:iCs/>
        </w:rPr>
        <w:t>ln</w:t>
      </w:r>
      <m:oMath>
        <m:sSub>
          <m:sSubPr>
            <m:ctrlPr>
              <w:rPr>
                <w:rFonts w:ascii="Cambria Math" w:hAnsi="Cambria Math"/>
                <w:bCs/>
                <w:i/>
                <w:iCs/>
              </w:rPr>
            </m:ctrlPr>
          </m:sSubPr>
          <m:e>
            <m:r>
              <w:rPr>
                <w:rFonts w:ascii="Cambria Math" w:hAnsi="Cambria Math"/>
              </w:rPr>
              <m:t>TFEC</m:t>
            </m:r>
          </m:e>
          <m:sub>
            <m:r>
              <w:rPr>
                <w:rFonts w:ascii="Cambria Math" w:hAnsi="Cambria Math"/>
              </w:rPr>
              <m:t>t</m:t>
            </m:r>
          </m:sub>
        </m:sSub>
        <m:r>
          <w:rPr>
            <w:rFonts w:ascii="Cambria Math" w:hAnsi="Cambria Math"/>
          </w:rPr>
          <m:t>=α+</m:t>
        </m:r>
        <m:sSub>
          <m:sSubPr>
            <m:ctrlPr>
              <w:rPr>
                <w:rFonts w:ascii="Cambria Math" w:hAnsi="Cambria Math"/>
                <w:bCs/>
                <w:i/>
                <w:iCs/>
              </w:rPr>
            </m:ctrlPr>
          </m:sSubPr>
          <m:e>
            <m:r>
              <w:rPr>
                <w:rFonts w:ascii="Cambria Math" w:hAnsi="Cambria Math"/>
              </w:rPr>
              <m:t>β</m:t>
            </m:r>
          </m:e>
          <m:sub>
            <m:r>
              <w:rPr>
                <w:rFonts w:ascii="Cambria Math" w:hAnsi="Cambria Math"/>
              </w:rPr>
              <m:t>1</m:t>
            </m:r>
          </m:sub>
        </m:sSub>
        <m:r>
          <w:rPr>
            <w:rFonts w:ascii="Cambria Math" w:hAnsi="Cambria Math"/>
          </w:rPr>
          <m:t>ln</m:t>
        </m:r>
        <m:sSub>
          <m:sSubPr>
            <m:ctrlPr>
              <w:rPr>
                <w:rFonts w:ascii="Cambria Math" w:hAnsi="Cambria Math"/>
                <w:bCs/>
                <w:i/>
                <w:iCs/>
              </w:rPr>
            </m:ctrlPr>
          </m:sSubPr>
          <m:e>
            <m:sSub>
              <m:sSubPr>
                <m:ctrlPr>
                  <w:rPr>
                    <w:rFonts w:ascii="Cambria Math" w:hAnsi="Cambria Math"/>
                    <w:bCs/>
                    <w:i/>
                    <w:iCs/>
                  </w:rPr>
                </m:ctrlPr>
              </m:sSubPr>
              <m:e>
                <m:r>
                  <w:rPr>
                    <w:rFonts w:ascii="Cambria Math" w:hAnsi="Cambria Math"/>
                  </w:rPr>
                  <m:t>GDPpc</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2</m:t>
                </m:r>
              </m:sub>
            </m:sSub>
            <m:r>
              <w:rPr>
                <w:rFonts w:ascii="Cambria Math" w:hAnsi="Cambria Math"/>
              </w:rPr>
              <m:t>Pop</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3</m:t>
            </m:r>
          </m:sub>
        </m:sSub>
        <m:r>
          <w:rPr>
            <w:rFonts w:ascii="Cambria Math" w:hAnsi="Cambria Math"/>
          </w:rPr>
          <m:t>ln</m:t>
        </m:r>
        <m:sSub>
          <m:sSubPr>
            <m:ctrlPr>
              <w:rPr>
                <w:rFonts w:ascii="Cambria Math" w:hAnsi="Cambria Math"/>
                <w:bCs/>
                <w:i/>
                <w:iCs/>
              </w:rPr>
            </m:ctrlPr>
          </m:sSubPr>
          <m:e>
            <m:r>
              <w:rPr>
                <w:rFonts w:ascii="Cambria Math" w:hAnsi="Cambria Math"/>
              </w:rPr>
              <m:t>Urb</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β</m:t>
            </m:r>
          </m:e>
          <m:sub>
            <m:r>
              <w:rPr>
                <w:rFonts w:ascii="Cambria Math" w:hAnsi="Cambria Math"/>
              </w:rPr>
              <m:t>4</m:t>
            </m:r>
          </m:sub>
        </m:sSub>
        <m:r>
          <w:rPr>
            <w:rFonts w:ascii="Cambria Math" w:hAnsi="Cambria Math"/>
          </w:rPr>
          <m:t>ln</m:t>
        </m:r>
        <m:sSub>
          <m:sSubPr>
            <m:ctrlPr>
              <w:rPr>
                <w:rFonts w:ascii="Cambria Math" w:hAnsi="Cambria Math"/>
                <w:bCs/>
                <w:i/>
                <w:iCs/>
              </w:rPr>
            </m:ctrlPr>
          </m:sSubPr>
          <m:e>
            <m:r>
              <w:rPr>
                <w:rFonts w:ascii="Cambria Math" w:hAnsi="Cambria Math"/>
              </w:rPr>
              <m:t>FDI</m:t>
            </m:r>
          </m:e>
          <m:sub>
            <m:r>
              <w:rPr>
                <w:rFonts w:ascii="Cambria Math" w:hAnsi="Cambria Math"/>
              </w:rPr>
              <m:t>t</m:t>
            </m:r>
          </m:sub>
        </m:sSub>
        <m:sSub>
          <m:sSubPr>
            <m:ctrlPr>
              <w:rPr>
                <w:rFonts w:ascii="Cambria Math" w:hAnsi="Cambria Math"/>
                <w:bCs/>
                <w:i/>
                <w:iCs/>
              </w:rPr>
            </m:ctrlPr>
          </m:sSubPr>
          <m:e>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Ind</m:t>
                </m:r>
              </m:e>
              <m:sub>
                <m:r>
                  <w:rPr>
                    <w:rFonts w:ascii="Cambria Math" w:hAnsi="Cambria Math"/>
                  </w:rPr>
                  <m:t>t</m:t>
                </m:r>
              </m:sub>
            </m:sSub>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lnTOT</m:t>
                </m:r>
              </m:e>
              <m:sub>
                <m:r>
                  <w:rPr>
                    <w:rFonts w:ascii="Cambria Math" w:hAnsi="Cambria Math"/>
                  </w:rPr>
                  <m:t>t</m:t>
                </m:r>
              </m:sub>
            </m:sSub>
            <m:r>
              <w:rPr>
                <w:rFonts w:ascii="Cambria Math" w:hAnsi="Cambria Math"/>
              </w:rPr>
              <m:t>+β</m:t>
            </m:r>
          </m:e>
          <m:sub>
            <m:r>
              <w:rPr>
                <w:rFonts w:ascii="Cambria Math" w:hAnsi="Cambria Math"/>
              </w:rPr>
              <m:t>7</m:t>
            </m:r>
          </m:sub>
        </m:sSub>
        <m:r>
          <w:rPr>
            <w:rFonts w:ascii="Cambria Math" w:hAnsi="Cambria Math"/>
          </w:rPr>
          <m:t>(</m:t>
        </m:r>
        <m:sSub>
          <m:sSubPr>
            <m:ctrlPr>
              <w:rPr>
                <w:rFonts w:ascii="Cambria Math" w:hAnsi="Cambria Math"/>
                <w:bCs/>
                <w:i/>
                <w:iCs/>
              </w:rPr>
            </m:ctrlPr>
          </m:sSubPr>
          <m:e>
            <m:r>
              <w:rPr>
                <w:rFonts w:ascii="Cambria Math" w:hAnsi="Cambria Math"/>
              </w:rPr>
              <m:t>Ind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lnTOT</m:t>
            </m:r>
          </m:e>
          <m:sub>
            <m:r>
              <w:rPr>
                <w:rFonts w:ascii="Cambria Math" w:hAnsi="Cambria Math"/>
              </w:rPr>
              <m:t>t</m:t>
            </m:r>
          </m:sub>
        </m:sSub>
        <m:r>
          <w:rPr>
            <w:rFonts w:ascii="Cambria Math" w:hAnsi="Cambria Math"/>
          </w:rPr>
          <m:t>)+</m:t>
        </m:r>
        <m:sSub>
          <m:sSubPr>
            <m:ctrlPr>
              <w:rPr>
                <w:rFonts w:ascii="Cambria Math" w:hAnsi="Cambria Math"/>
                <w:bCs/>
                <w:i/>
                <w:iCs/>
              </w:rPr>
            </m:ctrlPr>
          </m:sSubPr>
          <m:e>
            <m:r>
              <w:rPr>
                <w:rFonts w:ascii="Cambria Math" w:hAnsi="Cambria Math"/>
              </w:rPr>
              <m:t>ϵ</m:t>
            </m:r>
          </m:e>
          <m:sub>
            <m:r>
              <w:rPr>
                <w:rFonts w:ascii="Cambria Math" w:hAnsi="Cambria Math"/>
              </w:rPr>
              <m:t>t</m:t>
            </m:r>
          </m:sub>
        </m:sSub>
        <m:r>
          <w:rPr>
            <w:rFonts w:ascii="Cambria Math" w:hAnsi="Cambria Math"/>
          </w:rPr>
          <m:t>…….(4</m:t>
        </m:r>
      </m:oMath>
      <w:r w:rsidR="00816AFE" w:rsidRPr="001E6F9F">
        <w:rPr>
          <w:rFonts w:eastAsiaTheme="minorEastAsia"/>
          <w:i/>
        </w:rPr>
        <w:t>)</w:t>
      </w:r>
    </w:p>
    <w:p w14:paraId="70297646" w14:textId="77777777" w:rsidR="002A4FBC" w:rsidRPr="0085125A" w:rsidRDefault="002A4FBC" w:rsidP="002A4FBC">
      <w:pPr>
        <w:spacing w:after="200" w:line="360" w:lineRule="auto"/>
        <w:jc w:val="both"/>
      </w:pPr>
      <w:r w:rsidRPr="0085125A">
        <w:t>Building on the results of model four (4), causal estimation techniques such as such as granger causality and VECM are used to examine the short and long-run relationship between dependent variable and independent variable as well as the direction of causality.</w:t>
      </w:r>
    </w:p>
    <w:p w14:paraId="01AB6035" w14:textId="77777777" w:rsidR="002A4FBC" w:rsidRPr="0085125A" w:rsidRDefault="002A4FBC" w:rsidP="002A4FBC">
      <w:pPr>
        <w:keepNext/>
        <w:keepLines/>
        <w:spacing w:before="40" w:line="360" w:lineRule="auto"/>
        <w:jc w:val="both"/>
        <w:outlineLvl w:val="2"/>
        <w:rPr>
          <w:rFonts w:eastAsiaTheme="majorEastAsia"/>
          <w:b/>
        </w:rPr>
      </w:pPr>
      <w:bookmarkStart w:id="10" w:name="_Toc87879544"/>
      <w:bookmarkStart w:id="11" w:name="_Toc87879717"/>
      <w:r w:rsidRPr="0085125A">
        <w:rPr>
          <w:rFonts w:eastAsiaTheme="majorEastAsia"/>
        </w:rPr>
        <w:t>3.2.2</w:t>
      </w:r>
      <w:r w:rsidRPr="0085125A">
        <w:rPr>
          <w:rFonts w:eastAsiaTheme="majorEastAsia"/>
          <w:b/>
        </w:rPr>
        <w:t>. Unit Root Test</w:t>
      </w:r>
      <w:bookmarkEnd w:id="10"/>
      <w:bookmarkEnd w:id="11"/>
    </w:p>
    <w:p w14:paraId="26967FA3" w14:textId="77777777" w:rsidR="002A4FBC" w:rsidRPr="0085125A" w:rsidRDefault="002A4FBC" w:rsidP="002A4FBC">
      <w:pPr>
        <w:spacing w:after="200" w:line="360" w:lineRule="auto"/>
        <w:jc w:val="both"/>
      </w:pPr>
      <w:r w:rsidRPr="0085125A">
        <w:t>If the mean, variance, and auto covariance of time series data stay constant across time, they are said to be stationary.</w:t>
      </w:r>
    </w:p>
    <w:p w14:paraId="76AB5466" w14:textId="77777777" w:rsidR="002A4FBC" w:rsidRPr="0085125A" w:rsidRDefault="002A4FBC" w:rsidP="002A4FBC">
      <w:pPr>
        <w:spacing w:after="200" w:line="360" w:lineRule="auto"/>
        <w:jc w:val="both"/>
      </w:pPr>
      <w:r w:rsidRPr="0085125A">
        <w:lastRenderedPageBreak/>
        <w:t>Most of the macroeconomic factors are not stationary and when the regression of two or more variables is non-stationary, spurious regression occurs. As a result, the properties of the time-series data used for a model estimate will be determined to prevent the problem of spurious regression. Hence, the unit root test is used to identify the stationary (Gujarati, 2004).</w:t>
      </w:r>
    </w:p>
    <w:p w14:paraId="25D1C923" w14:textId="77777777" w:rsidR="002A4FBC" w:rsidRPr="0085125A" w:rsidRDefault="002A4FBC" w:rsidP="002A4FBC">
      <w:pPr>
        <w:spacing w:after="200" w:line="360" w:lineRule="auto"/>
        <w:jc w:val="both"/>
      </w:pPr>
      <w:r w:rsidRPr="0085125A">
        <w:t>The integration analysis is the initial phase in the testing procedure. The goal is to assess if the time series variables used in the model are stationary. Engle RF and Granger C (1987) showed that a linear combination of non-stationary series can be stationary, and the series is deemed cointegrated if this stationarity exists. This implies the integration of the series in the same order. To evaluate whether the series is stationary or not, the augmented Dickey-Fuller (ADF) test (Dickey, 1979) is used. Whether the selected research variables' time-series data are stationary at level, first difference, or both.</w:t>
      </w:r>
    </w:p>
    <w:p w14:paraId="7C1E15C2" w14:textId="77777777" w:rsidR="002A4FBC" w:rsidRPr="0085125A" w:rsidRDefault="002A4FBC" w:rsidP="002A4FBC">
      <w:pPr>
        <w:spacing w:after="200" w:line="360" w:lineRule="auto"/>
        <w:jc w:val="both"/>
      </w:pPr>
      <w:r w:rsidRPr="0085125A">
        <w:t xml:space="preserve"> </w:t>
      </w:r>
      <m:oMath>
        <m:r>
          <m:rPr>
            <m:sty m:val="p"/>
          </m:rPr>
          <w:rPr>
            <w:rFonts w:ascii="Cambria Math" w:hAnsi="Cambria Math"/>
          </w:rPr>
          <m:t>∆</m:t>
        </m:r>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α</m:t>
            </m:r>
          </m:e>
          <m:sub>
            <m:r>
              <m:rPr>
                <m:sty m:val="p"/>
              </m:rPr>
              <w:rPr>
                <w:rFonts w:ascii="Cambria Math" w:hAnsi="Cambria Math"/>
              </w:rPr>
              <m:t>1</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α</m:t>
            </m:r>
          </m:e>
          <m:sub>
            <m:r>
              <m:rPr>
                <m:sty m:val="p"/>
              </m:rPr>
              <w:rPr>
                <w:rFonts w:ascii="Cambria Math" w:hAnsi="Cambria Math"/>
              </w:rPr>
              <m:t>2</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δX</m:t>
            </m:r>
          </m:e>
          <m:sub>
            <m:r>
              <m:rPr>
                <m:sty m:val="p"/>
              </m:rPr>
              <w:rPr>
                <w:rFonts w:ascii="Cambria Math" w:hAnsi="Cambria Math"/>
              </w:rPr>
              <m:t>t-1</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w:rPr>
                <w:rFonts w:ascii="Cambria Math" w:hAnsi="Cambria Math"/>
              </w:rPr>
              <m:t>1</m:t>
            </m:r>
          </m:sub>
        </m:sSub>
        <m:nary>
          <m:naryPr>
            <m:chr m:val="∑"/>
            <m:limLoc m:val="undOvr"/>
            <m:ctrlPr>
              <w:rPr>
                <w:rFonts w:ascii="Cambria Math" w:hAnsi="Cambria Math"/>
                <w:bCs/>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ℷi∆</m:t>
            </m:r>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t-i</m:t>
                </m:r>
              </m:sub>
            </m:sSub>
          </m:e>
        </m:nary>
        <m:r>
          <m:rPr>
            <m:sty m:val="p"/>
          </m:rPr>
          <w:rPr>
            <w:rFonts w:ascii="Cambria Math" w:hAnsi="Cambria Math"/>
          </w:rPr>
          <m:t>+</m:t>
        </m:r>
        <m:sSub>
          <m:sSubPr>
            <m:ctrlPr>
              <w:rPr>
                <w:rFonts w:ascii="Cambria Math" w:hAnsi="Cambria Math"/>
                <w:bCs/>
              </w:rPr>
            </m:ctrlPr>
          </m:sSubPr>
          <m:e>
            <m:r>
              <m:rPr>
                <m:sty m:val="p"/>
              </m:rPr>
              <w:rPr>
                <w:rFonts w:ascii="Cambria Math" w:hAnsi="Cambria Math"/>
              </w:rPr>
              <m:t>ε</m:t>
            </m:r>
          </m:e>
          <m:sub>
            <m:r>
              <m:rPr>
                <m:sty m:val="p"/>
              </m:rPr>
              <w:rPr>
                <w:rFonts w:ascii="Cambria Math" w:hAnsi="Cambria Math"/>
              </w:rPr>
              <m:t>t</m:t>
            </m:r>
          </m:sub>
        </m:sSub>
        <m:r>
          <m:rPr>
            <m:sty m:val="p"/>
          </m:rPr>
          <w:rPr>
            <w:rFonts w:ascii="Cambria Math" w:hAnsi="Cambria Math"/>
          </w:rPr>
          <m:t xml:space="preserve">    t=1,…..,n</m:t>
        </m:r>
      </m:oMath>
      <w:r w:rsidRPr="0085125A">
        <w:rPr>
          <w:bCs/>
        </w:rPr>
        <w:t xml:space="preserve">  (4)</w:t>
      </w:r>
    </w:p>
    <w:p w14:paraId="2935AFB6" w14:textId="77777777" w:rsidR="002A4FBC" w:rsidRPr="0085125A" w:rsidRDefault="002A4FBC" w:rsidP="002A4FBC">
      <w:pPr>
        <w:spacing w:after="200" w:line="360" w:lineRule="auto"/>
        <w:jc w:val="both"/>
      </w:pPr>
      <w:r w:rsidRPr="0085125A">
        <w:rPr>
          <w:bCs/>
        </w:rPr>
        <w:t xml:space="preserve">Where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85125A">
        <w:t xml:space="preserve"> denotes any variable in the model are</w:t>
      </w:r>
      <m:oMath>
        <m:r>
          <w:rPr>
            <w:rFonts w:ascii="Cambria Math" w:hAnsi="Cambria Math"/>
          </w:rPr>
          <m:t xml:space="preserve"> </m:t>
        </m:r>
        <m:sSub>
          <m:sSubPr>
            <m:ctrlPr>
              <w:rPr>
                <w:rFonts w:ascii="Cambria Math" w:hAnsi="Cambria Math"/>
                <w:i/>
              </w:rPr>
            </m:ctrlPr>
          </m:sSubPr>
          <m:e>
            <m:r>
              <w:rPr>
                <w:rFonts w:ascii="Cambria Math" w:hAnsi="Cambria Math"/>
              </w:rPr>
              <m:t>GDPpc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Pop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Urb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Ind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FDI</m:t>
            </m:r>
          </m:e>
          <m:sub>
            <m:r>
              <w:rPr>
                <w:rFonts w:ascii="Cambria Math" w:hAnsi="Cambria Math"/>
              </w:rPr>
              <m:t>t</m:t>
            </m:r>
          </m:sub>
        </m:sSub>
      </m:oMath>
      <w:r w:rsidRPr="0085125A">
        <w:t>,</w:t>
      </w:r>
      <m:oMath>
        <m:r>
          <w:rPr>
            <w:rFonts w:ascii="Cambria Math" w:hAnsi="Cambria Math"/>
          </w:rPr>
          <m:t xml:space="preserve"> </m:t>
        </m:r>
        <m:sSub>
          <m:sSubPr>
            <m:ctrlPr>
              <w:rPr>
                <w:rFonts w:ascii="Cambria Math" w:hAnsi="Cambria Math"/>
                <w:i/>
              </w:rPr>
            </m:ctrlPr>
          </m:sSubPr>
          <m:e>
            <m:r>
              <w:rPr>
                <w:rFonts w:ascii="Cambria Math" w:hAnsi="Cambria Math"/>
              </w:rPr>
              <m:t>Open</m:t>
            </m:r>
          </m:e>
          <m:sub>
            <m:r>
              <w:rPr>
                <w:rFonts w:ascii="Cambria Math" w:hAnsi="Cambria Math"/>
              </w:rPr>
              <m:t>t</m:t>
            </m:r>
          </m:sub>
        </m:sSub>
      </m:oMath>
      <w:r w:rsidRPr="0085125A">
        <w:t xml:space="preserve"> t is the trend .</w:t>
      </w:r>
      <m:oMath>
        <m:r>
          <w:rPr>
            <w:rFonts w:ascii="Cambria Math" w:hAnsi="Cambria Math"/>
          </w:rPr>
          <m:t>∆</m:t>
        </m:r>
      </m:oMath>
      <w:r w:rsidRPr="0085125A">
        <w:t xml:space="preserve"> is the different operator.</w:t>
      </w:r>
      <m:oMath>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α</m:t>
            </m:r>
          </m:e>
          <m:sub>
            <m:r>
              <m:rPr>
                <m:sty m:val="p"/>
              </m:rPr>
              <w:rPr>
                <w:rFonts w:ascii="Cambria Math" w:hAnsi="Cambria Math"/>
              </w:rPr>
              <m:t>1</m:t>
            </m:r>
          </m:sub>
        </m:sSub>
      </m:oMath>
      <w:r w:rsidRPr="0085125A">
        <w:rPr>
          <w:bCs/>
        </w:rPr>
        <w:t>,</w:t>
      </w:r>
      <m:oMath>
        <m:sSub>
          <m:sSubPr>
            <m:ctrlPr>
              <w:rPr>
                <w:rFonts w:ascii="Cambria Math" w:hAnsi="Cambria Math"/>
                <w:bCs/>
              </w:rPr>
            </m:ctrlPr>
          </m:sSubPr>
          <m:e>
            <m:r>
              <m:rPr>
                <m:sty m:val="p"/>
              </m:rPr>
              <w:rPr>
                <w:rFonts w:ascii="Cambria Math" w:hAnsi="Cambria Math"/>
              </w:rPr>
              <m:t>α</m:t>
            </m:r>
          </m:e>
          <m:sub>
            <m:r>
              <m:rPr>
                <m:sty m:val="p"/>
              </m:rPr>
              <w:rPr>
                <w:rFonts w:ascii="Cambria Math" w:hAnsi="Cambria Math"/>
              </w:rPr>
              <m:t>2</m:t>
            </m:r>
          </m:sub>
        </m:sSub>
      </m:oMath>
      <w:r w:rsidRPr="0085125A">
        <w:rPr>
          <w:bCs/>
        </w:rPr>
        <w:t>,</w:t>
      </w:r>
      <m:oMath>
        <m:sSub>
          <m:sSubPr>
            <m:ctrlPr>
              <w:rPr>
                <w:rFonts w:ascii="Cambria Math" w:hAnsi="Cambria Math"/>
                <w:bCs/>
              </w:rPr>
            </m:ctrlPr>
          </m:sSubPr>
          <m:e>
            <m:r>
              <m:rPr>
                <m:sty m:val="p"/>
              </m:rPr>
              <w:rPr>
                <w:rFonts w:ascii="Cambria Math" w:hAnsi="Cambria Math"/>
              </w:rPr>
              <m:t>β</m:t>
            </m:r>
          </m:e>
          <m:sub>
            <m:r>
              <m:rPr>
                <m:sty m:val="p"/>
              </m:rPr>
              <w:rPr>
                <w:rFonts w:ascii="Cambria Math" w:hAnsi="Cambria Math"/>
              </w:rPr>
              <m:t>1</m:t>
            </m:r>
          </m:sub>
        </m:sSub>
      </m:oMath>
      <w:r w:rsidRPr="0085125A">
        <w:rPr>
          <w:bCs/>
        </w:rPr>
        <w:t>,…,</w:t>
      </w:r>
      <m:oMath>
        <m:sSub>
          <m:sSubPr>
            <m:ctrlPr>
              <w:rPr>
                <w:rFonts w:ascii="Cambria Math" w:hAnsi="Cambria Math"/>
                <w:bCs/>
              </w:rPr>
            </m:ctrlPr>
          </m:sSubPr>
          <m:e>
            <m:r>
              <m:rPr>
                <m:sty m:val="p"/>
              </m:rPr>
              <w:rPr>
                <w:rFonts w:ascii="Cambria Math" w:hAnsi="Cambria Math"/>
              </w:rPr>
              <m:t>β</m:t>
            </m:r>
          </m:e>
          <m:sub>
            <m:r>
              <m:rPr>
                <m:sty m:val="p"/>
              </m:rPr>
              <w:rPr>
                <w:rFonts w:ascii="Cambria Math" w:hAnsi="Cambria Math"/>
              </w:rPr>
              <m:t>n</m:t>
            </m:r>
          </m:sub>
        </m:sSub>
      </m:oMath>
      <w:r w:rsidRPr="0085125A">
        <w:rPr>
          <w:bCs/>
        </w:rPr>
        <w:t xml:space="preserve"> is a set of parameters. The null hypothesis implies </w:t>
      </w:r>
      <w:r w:rsidRPr="0085125A">
        <w:t xml:space="preserve">that there is unit root or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85125A">
        <w:rPr>
          <w:iCs/>
        </w:rPr>
        <w:t xml:space="preserve"> </w:t>
      </w:r>
      <w:r w:rsidRPr="0085125A">
        <w:t>is non-stationary (</w:t>
      </w:r>
      <m:oMath>
        <m:r>
          <m:rPr>
            <m:sty m:val="p"/>
          </m:rPr>
          <w:rPr>
            <w:rFonts w:ascii="Cambria Math" w:hAnsi="Cambria Math"/>
          </w:rPr>
          <m:t>δ=0)</m:t>
        </m:r>
      </m:oMath>
      <w:r w:rsidRPr="0085125A">
        <w:t xml:space="preserve"> against the alternative hypothesis</w:t>
      </w:r>
      <m:oMath>
        <m:r>
          <w:rPr>
            <w:rFonts w:ascii="Cambria Math" w:hAnsi="Cambria Math"/>
          </w:rPr>
          <m:t xml:space="preserve"> </m:t>
        </m:r>
        <m:r>
          <m:rPr>
            <m:sty m:val="p"/>
          </m:rPr>
          <w:rPr>
            <w:rFonts w:ascii="Cambria Math" w:hAnsi="Cambria Math"/>
          </w:rPr>
          <m:t>δ&lt;0)</m:t>
        </m:r>
      </m:oMath>
      <w:r w:rsidRPr="0085125A">
        <w:t xml:space="preserve">. </w:t>
      </w:r>
    </w:p>
    <w:p w14:paraId="0BA292E4" w14:textId="77777777" w:rsidR="002A4FBC" w:rsidRPr="0085125A" w:rsidRDefault="002A4FBC" w:rsidP="002A4FBC">
      <w:pPr>
        <w:keepNext/>
        <w:keepLines/>
        <w:spacing w:before="40" w:line="360" w:lineRule="auto"/>
        <w:jc w:val="both"/>
        <w:outlineLvl w:val="2"/>
        <w:rPr>
          <w:rFonts w:eastAsiaTheme="majorEastAsia"/>
          <w:b/>
        </w:rPr>
      </w:pPr>
      <w:bookmarkStart w:id="12" w:name="_Toc87879545"/>
      <w:bookmarkStart w:id="13" w:name="_Toc87879718"/>
      <w:r w:rsidRPr="0085125A">
        <w:rPr>
          <w:rFonts w:eastAsiaTheme="majorEastAsia"/>
          <w:b/>
        </w:rPr>
        <w:t>3.2.3. Cointegration</w:t>
      </w:r>
      <w:bookmarkEnd w:id="12"/>
      <w:bookmarkEnd w:id="13"/>
    </w:p>
    <w:p w14:paraId="76E9EA06" w14:textId="77777777" w:rsidR="002A4FBC" w:rsidRPr="0085125A" w:rsidRDefault="002A4FBC" w:rsidP="002A4FBC">
      <w:pPr>
        <w:autoSpaceDE w:val="0"/>
        <w:autoSpaceDN w:val="0"/>
        <w:adjustRightInd w:val="0"/>
        <w:spacing w:line="360" w:lineRule="auto"/>
        <w:jc w:val="both"/>
      </w:pPr>
      <w:r w:rsidRPr="0085125A">
        <w:t xml:space="preserve">This study uses the autoregressive distributed lag model (ARDL) technique proposed by (Pesaran, 1997; Pesaran and shin,1998; Pesaran et.al,2001) to examine the long-run relationship between energy use and control variables. It was also used to examine the links between time series data variables i.e, TFEC, GDPpc, Ind, Pop, Urb, Open and FDI in the long run. </w:t>
      </w:r>
    </w:p>
    <w:p w14:paraId="06C3E709" w14:textId="77777777" w:rsidR="002A4FBC" w:rsidRPr="0085125A" w:rsidRDefault="002A4FBC" w:rsidP="002A4FBC">
      <w:pPr>
        <w:spacing w:after="200" w:line="360" w:lineRule="auto"/>
        <w:jc w:val="both"/>
      </w:pPr>
      <w:r w:rsidRPr="0085125A">
        <w:t xml:space="preserve">The traditional ARDL cannot evaluate a series integration of a certain order or difference stationery as a basic postulate. Hence, an alternative estimating approach was developed (see Engle and Granger,1987, Johansen,1991, Phillips and Hansen,1990). </w:t>
      </w:r>
    </w:p>
    <w:p w14:paraId="24830BAE" w14:textId="77777777" w:rsidR="002A4FBC" w:rsidRPr="0085125A" w:rsidRDefault="002A4FBC" w:rsidP="002A4FBC">
      <w:pPr>
        <w:spacing w:after="200" w:line="360" w:lineRule="auto"/>
        <w:jc w:val="both"/>
      </w:pPr>
      <w:r w:rsidRPr="0085125A">
        <w:t xml:space="preserve">Another problem in evaluating starting long-run relationship is that the cointegration test is ineffective when variables are integrated into different orders. Recent existing literature on re-parameterizing the ARDL model to the Error Correction Model have emerged as a solution for identifying long-term relationship among series with differing integration orders (see Min and Guna, 2017). The significant impact on the results yields both short-run and long-run relationships similar to the ARDL. </w:t>
      </w:r>
    </w:p>
    <w:p w14:paraId="5263C9A8" w14:textId="77777777" w:rsidR="002A4FBC" w:rsidRPr="0085125A" w:rsidRDefault="002A4FBC" w:rsidP="002A4FBC">
      <w:pPr>
        <w:spacing w:after="200" w:line="360" w:lineRule="auto"/>
        <w:jc w:val="both"/>
      </w:pPr>
      <w:r w:rsidRPr="0085125A">
        <w:lastRenderedPageBreak/>
        <w:t>There are five main reasons why limits testing is preferred over standard multivariate cointegration techniques (Engle and Granger, 1987; Johansen, 1988; Johansen and Juselius, 1990). First, Once the model lag order has been determined, The ARDL model can be estimated using Ordinary Least Squares (OLS). Second, Both the long-run and short-run parameters of the model can be computed simultaneously. (Pesaran and shin ,1998;pesaran et al.2001). Third, it may be used irrespective of the order in which the underlying variables are integrated (Pesaran and shin,1998). However, to avoid spurious regression or an ARDL procedure crush, verify that none of the variables are I (2). Fourth, the test's efficiency is improved much more when small (limited) sample sizes are used (Haug,2002). Lastly, according to Banerjee et al. (1998), Autoregressive distributed lag does not transform short-run coefficients into residuals.</w:t>
      </w:r>
    </w:p>
    <w:p w14:paraId="593C1BC1" w14:textId="77777777" w:rsidR="002A4FBC" w:rsidRPr="0085125A" w:rsidRDefault="002A4FBC" w:rsidP="002A4FBC">
      <w:pPr>
        <w:spacing w:after="200" w:line="360" w:lineRule="auto"/>
        <w:jc w:val="both"/>
      </w:pPr>
      <w:r w:rsidRPr="0085125A">
        <w:t>The ARDL model is expressed as follows Eq,(5)</w:t>
      </w:r>
    </w:p>
    <w:p w14:paraId="7201A044" w14:textId="518A0C40" w:rsidR="002A4FBC" w:rsidRPr="0085125A" w:rsidRDefault="00326B0D" w:rsidP="002A4FBC">
      <w:pPr>
        <w:spacing w:after="200" w:line="360" w:lineRule="auto"/>
        <w:jc w:val="both"/>
      </w:pPr>
      <m:oMath>
        <m:sSub>
          <m:sSubPr>
            <m:ctrlPr>
              <w:rPr>
                <w:rFonts w:ascii="Cambria Math" w:hAnsi="Cambria Math"/>
                <w:i/>
              </w:rPr>
            </m:ctrlPr>
          </m:sSubPr>
          <m:e>
            <m:r>
              <w:rPr>
                <w:rFonts w:ascii="Cambria Math" w:hAnsi="Cambria Math"/>
              </w:rPr>
              <m:t>∆LnTFEC</m:t>
            </m:r>
          </m:e>
          <m:sub>
            <m:r>
              <w:rPr>
                <w:rFonts w:ascii="Cambria Math" w:hAnsi="Cambria Math"/>
              </w:rPr>
              <m:t>t</m:t>
            </m:r>
          </m:sub>
        </m:sSub>
      </m:oMath>
      <w:r w:rsidR="002A4FBC" w:rsidRPr="0085125A">
        <w:t>=</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∆LnTF</m:t>
            </m:r>
            <m:sSub>
              <m:sSubPr>
                <m:ctrlPr>
                  <w:rPr>
                    <w:rFonts w:ascii="Cambria Math" w:hAnsi="Cambria Math"/>
                    <w:i/>
                  </w:rPr>
                </m:ctrlPr>
              </m:sSubPr>
              <m:e>
                <m:r>
                  <w:rPr>
                    <w:rFonts w:ascii="Cambria Math" w:hAnsi="Cambria Math"/>
                  </w:rPr>
                  <m:t>EC</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∆Ln</m:t>
            </m:r>
            <m:sSub>
              <m:sSubPr>
                <m:ctrlPr>
                  <w:rPr>
                    <w:rFonts w:ascii="Cambria Math" w:hAnsi="Cambria Math"/>
                    <w:i/>
                  </w:rPr>
                </m:ctrlPr>
              </m:sSubPr>
              <m:e>
                <m:r>
                  <w:rPr>
                    <w:rFonts w:ascii="Cambria Math" w:hAnsi="Cambria Math"/>
                  </w:rPr>
                  <m:t>GDP</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POP</m:t>
                </m:r>
              </m:e>
              <m:sub>
                <m:r>
                  <w:rPr>
                    <w:rFonts w:ascii="Cambria Math" w:hAnsi="Cambria Math"/>
                  </w:rPr>
                  <m:t>t-1</m:t>
                </m:r>
              </m:sub>
            </m:sSub>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∆Ln</m:t>
            </m:r>
            <m:sSub>
              <m:sSubPr>
                <m:ctrlPr>
                  <w:rPr>
                    <w:rFonts w:ascii="Cambria Math" w:hAnsi="Cambria Math"/>
                    <w:i/>
                  </w:rPr>
                </m:ctrlPr>
              </m:sSubPr>
              <m:e>
                <m:r>
                  <w:rPr>
                    <w:rFonts w:ascii="Cambria Math" w:hAnsi="Cambria Math"/>
                  </w:rPr>
                  <m:t>Urb</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∆Ln</m:t>
            </m:r>
            <m:sSub>
              <m:sSubPr>
                <m:ctrlPr>
                  <w:rPr>
                    <w:rFonts w:ascii="Cambria Math" w:hAnsi="Cambria Math"/>
                    <w:i/>
                  </w:rPr>
                </m:ctrlPr>
              </m:sSubPr>
              <m:e>
                <m:r>
                  <w:rPr>
                    <w:rFonts w:ascii="Cambria Math" w:hAnsi="Cambria Math"/>
                  </w:rPr>
                  <m:t>FDI</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Ind</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∆Ln</m:t>
            </m:r>
            <m:sSub>
              <m:sSubPr>
                <m:ctrlPr>
                  <w:rPr>
                    <w:rFonts w:ascii="Cambria Math" w:hAnsi="Cambria Math"/>
                    <w:i/>
                  </w:rPr>
                </m:ctrlPr>
              </m:sSubPr>
              <m:e>
                <m:r>
                  <w:rPr>
                    <w:rFonts w:ascii="Cambria Math" w:hAnsi="Cambria Math"/>
                  </w:rPr>
                  <m:t>TOT</m:t>
                </m:r>
              </m:e>
              <m:sub>
                <m:r>
                  <w:rPr>
                    <w:rFonts w:ascii="Cambria Math" w:hAnsi="Cambria Math"/>
                  </w:rPr>
                  <m:t>t-1</m:t>
                </m:r>
              </m:sub>
            </m:sSub>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8</m:t>
            </m:r>
          </m:sub>
        </m:sSub>
        <m:r>
          <w:rPr>
            <w:rFonts w:ascii="Cambria Math" w:hAnsi="Cambria Math"/>
          </w:rPr>
          <m:t>L</m:t>
        </m:r>
        <m:sSub>
          <m:sSubPr>
            <m:ctrlPr>
              <w:rPr>
                <w:rFonts w:ascii="Cambria Math" w:hAnsi="Cambria Math"/>
                <w:i/>
              </w:rPr>
            </m:ctrlPr>
          </m:sSubPr>
          <m:e>
            <m:r>
              <w:rPr>
                <w:rFonts w:ascii="Cambria Math" w:hAnsi="Cambria Math"/>
              </w:rPr>
              <m:t>TFEC</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9</m:t>
            </m:r>
          </m:sub>
        </m:sSub>
        <m:r>
          <w:rPr>
            <w:rFonts w:ascii="Cambria Math" w:hAnsi="Cambria Math"/>
          </w:rPr>
          <m:t>Ln</m:t>
        </m:r>
        <m:sSub>
          <m:sSubPr>
            <m:ctrlPr>
              <w:rPr>
                <w:rFonts w:ascii="Cambria Math" w:hAnsi="Cambria Math"/>
                <w:i/>
              </w:rPr>
            </m:ctrlPr>
          </m:sSubPr>
          <m:e>
            <m:r>
              <w:rPr>
                <w:rFonts w:ascii="Cambria Math" w:hAnsi="Cambria Math"/>
              </w:rPr>
              <m:t>GDPpc</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10</m:t>
            </m:r>
          </m:sub>
        </m:sSub>
        <m:sSub>
          <m:sSubPr>
            <m:ctrlPr>
              <w:rPr>
                <w:rFonts w:ascii="Cambria Math" w:hAnsi="Cambria Math"/>
                <w:i/>
              </w:rPr>
            </m:ctrlPr>
          </m:sSubPr>
          <m:e>
            <m:r>
              <w:rPr>
                <w:rFonts w:ascii="Cambria Math" w:hAnsi="Cambria Math"/>
              </w:rPr>
              <m:t>POP</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11</m:t>
            </m:r>
          </m:sub>
        </m:sSub>
        <m:r>
          <w:rPr>
            <w:rFonts w:ascii="Cambria Math" w:hAnsi="Cambria Math"/>
          </w:rPr>
          <m:t>Ln</m:t>
        </m:r>
        <m:sSub>
          <m:sSubPr>
            <m:ctrlPr>
              <w:rPr>
                <w:rFonts w:ascii="Cambria Math" w:hAnsi="Cambria Math"/>
                <w:i/>
              </w:rPr>
            </m:ctrlPr>
          </m:sSubPr>
          <m:e>
            <m:r>
              <w:rPr>
                <w:rFonts w:ascii="Cambria Math" w:hAnsi="Cambria Math"/>
              </w:rPr>
              <m:t>Urb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12</m:t>
            </m:r>
          </m:sub>
        </m:sSub>
        <m:r>
          <w:rPr>
            <w:rFonts w:ascii="Cambria Math" w:hAnsi="Cambria Math"/>
          </w:rPr>
          <m:t>L</m:t>
        </m:r>
        <m:sSub>
          <m:sSubPr>
            <m:ctrlPr>
              <w:rPr>
                <w:rFonts w:ascii="Cambria Math" w:hAnsi="Cambria Math"/>
                <w:i/>
              </w:rPr>
            </m:ctrlPr>
          </m:sSubPr>
          <m:e>
            <m:r>
              <w:rPr>
                <w:rFonts w:ascii="Cambria Math" w:hAnsi="Cambria Math"/>
              </w:rPr>
              <m:t>nFDI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13</m:t>
            </m:r>
          </m:sub>
        </m:sSub>
        <m:sSub>
          <m:sSubPr>
            <m:ctrlPr>
              <w:rPr>
                <w:rFonts w:ascii="Cambria Math" w:hAnsi="Cambria Math"/>
                <w:i/>
              </w:rPr>
            </m:ctrlPr>
          </m:sSubPr>
          <m:e>
            <m:r>
              <w:rPr>
                <w:rFonts w:ascii="Cambria Math" w:hAnsi="Cambria Math"/>
              </w:rPr>
              <m:t>Ind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14</m:t>
            </m:r>
          </m:sub>
        </m:sSub>
        <m:r>
          <w:rPr>
            <w:rFonts w:ascii="Cambria Math" w:hAnsi="Cambria Math"/>
          </w:rPr>
          <m:t>Ln</m:t>
        </m:r>
        <m:sSub>
          <m:sSubPr>
            <m:ctrlPr>
              <w:rPr>
                <w:rFonts w:ascii="Cambria Math" w:hAnsi="Cambria Math"/>
                <w:i/>
              </w:rPr>
            </m:ctrlPr>
          </m:sSubPr>
          <m:e>
            <m:r>
              <w:rPr>
                <w:rFonts w:ascii="Cambria Math" w:hAnsi="Cambria Math"/>
              </w:rPr>
              <m:t>TOT</m:t>
            </m:r>
          </m:e>
          <m:sub>
            <m:r>
              <w:rPr>
                <w:rFonts w:ascii="Cambria Math" w:hAnsi="Cambria Math"/>
              </w:rPr>
              <m:t>t-1</m:t>
            </m:r>
          </m:sub>
        </m:sSub>
      </m:oMath>
      <w:r w:rsidR="002A4FBC" w:rsidRPr="0085125A">
        <w:t>+</w:t>
      </w:r>
      <m:oMath>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 xml:space="preserve">      </m:t>
        </m:r>
      </m:oMath>
      <w:r w:rsidR="002A4FBC" w:rsidRPr="0085125A">
        <w:t>(5)</w:t>
      </w:r>
    </w:p>
    <w:p w14:paraId="436E32C9" w14:textId="77777777" w:rsidR="002A4FBC" w:rsidRPr="0085125A" w:rsidRDefault="002A4FBC" w:rsidP="002A4FBC">
      <w:pPr>
        <w:spacing w:after="200" w:line="360" w:lineRule="auto"/>
        <w:jc w:val="both"/>
      </w:pPr>
      <w:r w:rsidRPr="0085125A">
        <w:t xml:space="preserve">Where ε is the white noise error term and Δ entitles the difference operator. The error correction dynamics are represented by the summation sign and </w:t>
      </w:r>
      <m:oMath>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oMath>
      <w:r w:rsidRPr="0085125A">
        <w:t>symbolizes constant.</w:t>
      </w:r>
    </w:p>
    <w:p w14:paraId="759F1A04" w14:textId="77777777" w:rsidR="002A4FBC" w:rsidRPr="0085125A" w:rsidRDefault="002A4FBC" w:rsidP="002A4FBC">
      <w:pPr>
        <w:spacing w:after="200" w:line="360" w:lineRule="auto"/>
        <w:jc w:val="both"/>
      </w:pPr>
      <w:r w:rsidRPr="0085125A">
        <w:t>The long-run relationship is represented by the second part of Eq. (5).  The FPE,AIC, SC, and HQC were used to determine the appropriate lag of each series in the model. Accordingly, (Pesaran et.al.2001) affirms the overall relevance of evaluation  of the lagged level of the research time-series data using Wald (F statistics). Furthermore, the long-run coefficient is determined if there is a long-run relationship between among variables.  Equation (6) for the long-run estimation model is as follows:</w:t>
      </w:r>
    </w:p>
    <w:p w14:paraId="73B5F2DA" w14:textId="6DE45498" w:rsidR="002A4FBC" w:rsidRPr="0085125A" w:rsidRDefault="00326B0D" w:rsidP="002A4FBC">
      <w:pPr>
        <w:spacing w:after="200" w:line="360" w:lineRule="auto"/>
        <w:jc w:val="both"/>
      </w:pPr>
      <m:oMath>
        <m:sSub>
          <m:sSubPr>
            <m:ctrlPr>
              <w:rPr>
                <w:rFonts w:ascii="Cambria Math" w:hAnsi="Cambria Math"/>
                <w:i/>
              </w:rPr>
            </m:ctrlPr>
          </m:sSubPr>
          <m:e>
            <m:r>
              <w:rPr>
                <w:rFonts w:ascii="Cambria Math" w:hAnsi="Cambria Math"/>
              </w:rPr>
              <m:t>∆LnTFEC</m:t>
            </m:r>
          </m:e>
          <m:sub>
            <m:r>
              <w:rPr>
                <w:rFonts w:ascii="Cambria Math" w:hAnsi="Cambria Math"/>
              </w:rPr>
              <m:t>t</m:t>
            </m:r>
          </m:sub>
        </m:sSub>
      </m:oMath>
      <w:r w:rsidR="002A4FBC" w:rsidRPr="0085125A">
        <w:t>=</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m:t>
            </m:r>
            <m:sSub>
              <m:sSubPr>
                <m:ctrlPr>
                  <w:rPr>
                    <w:rFonts w:ascii="Cambria Math" w:hAnsi="Cambria Math"/>
                    <w:i/>
                  </w:rPr>
                </m:ctrlPr>
              </m:sSubPr>
              <m:e>
                <m:r>
                  <w:rPr>
                    <w:rFonts w:ascii="Cambria Math" w:hAnsi="Cambria Math"/>
                  </w:rPr>
                  <m:t>EC</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∆Ln</m:t>
            </m:r>
            <m:sSub>
              <m:sSubPr>
                <m:ctrlPr>
                  <w:rPr>
                    <w:rFonts w:ascii="Cambria Math" w:hAnsi="Cambria Math"/>
                    <w:i/>
                  </w:rPr>
                </m:ctrlPr>
              </m:sSubPr>
              <m:e>
                <m:r>
                  <w:rPr>
                    <w:rFonts w:ascii="Cambria Math" w:hAnsi="Cambria Math"/>
                  </w:rPr>
                  <m:t>GDPpc</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POP</m:t>
                </m:r>
              </m:e>
              <m:sub>
                <m:r>
                  <w:rPr>
                    <w:rFonts w:ascii="Cambria Math" w:hAnsi="Cambria Math"/>
                  </w:rPr>
                  <m:t>t-1</m:t>
                </m:r>
              </m:sub>
            </m:sSub>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∆Ln</m:t>
            </m:r>
            <m:sSub>
              <m:sSubPr>
                <m:ctrlPr>
                  <w:rPr>
                    <w:rFonts w:ascii="Cambria Math" w:hAnsi="Cambria Math"/>
                    <w:i/>
                  </w:rPr>
                </m:ctrlPr>
              </m:sSubPr>
              <m:e>
                <m:r>
                  <w:rPr>
                    <w:rFonts w:ascii="Cambria Math" w:hAnsi="Cambria Math"/>
                  </w:rPr>
                  <m:t>Urb</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∆Ln</m:t>
            </m:r>
            <m:sSub>
              <m:sSubPr>
                <m:ctrlPr>
                  <w:rPr>
                    <w:rFonts w:ascii="Cambria Math" w:hAnsi="Cambria Math"/>
                    <w:i/>
                  </w:rPr>
                </m:ctrlPr>
              </m:sSubPr>
              <m:e>
                <m:r>
                  <w:rPr>
                    <w:rFonts w:ascii="Cambria Math" w:hAnsi="Cambria Math"/>
                  </w:rPr>
                  <m:t>FDI</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Ind</m:t>
                </m:r>
              </m:e>
              <m:sub>
                <m:r>
                  <w:rPr>
                    <w:rFonts w:ascii="Cambria Math" w:hAnsi="Cambria Math"/>
                  </w:rPr>
                  <m:t>t-1</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∆Ln</m:t>
            </m:r>
            <m:sSub>
              <m:sSubPr>
                <m:ctrlPr>
                  <w:rPr>
                    <w:rFonts w:ascii="Cambria Math" w:hAnsi="Cambria Math"/>
                    <w:i/>
                  </w:rPr>
                </m:ctrlPr>
              </m:sSubPr>
              <m:e>
                <m:r>
                  <w:rPr>
                    <w:rFonts w:ascii="Cambria Math" w:hAnsi="Cambria Math"/>
                  </w:rPr>
                  <m:t>TOT</m:t>
                </m:r>
              </m:e>
              <m:sub>
                <m:r>
                  <w:rPr>
                    <w:rFonts w:ascii="Cambria Math" w:hAnsi="Cambria Math"/>
                  </w:rPr>
                  <m:t>t-1</m:t>
                </m:r>
              </m:sub>
            </m:sSub>
          </m:e>
        </m:nary>
      </m:oMath>
      <w:r w:rsidR="002A4FBC" w:rsidRPr="0085125A">
        <w:t>+</w:t>
      </w:r>
      <m:oMath>
        <m:sSub>
          <m:sSubPr>
            <m:ctrlPr>
              <w:rPr>
                <w:rFonts w:ascii="Cambria Math" w:hAnsi="Cambria Math"/>
                <w:i/>
              </w:rPr>
            </m:ctrlPr>
          </m:sSubPr>
          <m:e>
            <m:r>
              <w:rPr>
                <w:rFonts w:ascii="Cambria Math" w:hAnsi="Cambria Math"/>
              </w:rPr>
              <m:t>ϵ</m:t>
            </m:r>
          </m:e>
          <m:sub>
            <m:r>
              <w:rPr>
                <w:rFonts w:ascii="Cambria Math" w:hAnsi="Cambria Math"/>
              </w:rPr>
              <m:t>t</m:t>
            </m:r>
          </m:sub>
        </m:sSub>
      </m:oMath>
      <w:r w:rsidR="002A4FBC" w:rsidRPr="0085125A">
        <w:t>(6)</w:t>
      </w:r>
    </w:p>
    <w:p w14:paraId="26328883" w14:textId="77777777" w:rsidR="002A4FBC" w:rsidRPr="0085125A" w:rsidRDefault="002A4FBC" w:rsidP="002A4FBC">
      <w:pPr>
        <w:spacing w:after="200" w:line="360" w:lineRule="auto"/>
        <w:jc w:val="both"/>
      </w:pPr>
      <w:r w:rsidRPr="0085125A">
        <w:t>In addition, if the indication of a long-term association between the research variables is determined, the short-run model that is predicted. Thus, Equation (7) is the short-run model that is used.</w:t>
      </w:r>
    </w:p>
    <w:p w14:paraId="7BABD20B" w14:textId="40BC8145" w:rsidR="002A4FBC" w:rsidRPr="0085125A" w:rsidRDefault="00326B0D" w:rsidP="002A4FBC">
      <w:pPr>
        <w:spacing w:after="200" w:line="360" w:lineRule="auto"/>
        <w:jc w:val="both"/>
      </w:pPr>
      <m:oMath>
        <m:sSub>
          <m:sSubPr>
            <m:ctrlPr>
              <w:rPr>
                <w:rFonts w:ascii="Cambria Math" w:hAnsi="Cambria Math"/>
                <w:i/>
              </w:rPr>
            </m:ctrlPr>
          </m:sSubPr>
          <m:e>
            <m:r>
              <w:rPr>
                <w:rFonts w:ascii="Cambria Math" w:hAnsi="Cambria Math"/>
              </w:rPr>
              <m:t>∆LnTFEC</m:t>
            </m:r>
          </m:e>
          <m:sub>
            <m:r>
              <w:rPr>
                <w:rFonts w:ascii="Cambria Math" w:hAnsi="Cambria Math"/>
              </w:rPr>
              <m:t>t</m:t>
            </m:r>
          </m:sub>
        </m:sSub>
      </m:oMath>
      <w:r w:rsidR="002A4FBC" w:rsidRPr="0085125A">
        <w:t>=</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∆Ln</m:t>
            </m:r>
            <m:sSub>
              <m:sSubPr>
                <m:ctrlPr>
                  <w:rPr>
                    <w:rFonts w:ascii="Cambria Math" w:hAnsi="Cambria Math"/>
                    <w:i/>
                  </w:rPr>
                </m:ctrlPr>
              </m:sSubPr>
              <m:e>
                <m:r>
                  <w:rPr>
                    <w:rFonts w:ascii="Cambria Math" w:hAnsi="Cambria Math"/>
                  </w:rPr>
                  <m:t>EC</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∆Ln</m:t>
            </m:r>
            <m:sSub>
              <m:sSubPr>
                <m:ctrlPr>
                  <w:rPr>
                    <w:rFonts w:ascii="Cambria Math" w:hAnsi="Cambria Math"/>
                    <w:i/>
                  </w:rPr>
                </m:ctrlPr>
              </m:sSubPr>
              <m:e>
                <m:r>
                  <w:rPr>
                    <w:rFonts w:ascii="Cambria Math" w:hAnsi="Cambria Math"/>
                  </w:rPr>
                  <m:t>GDPpc</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POP</m:t>
                </m:r>
              </m:e>
              <m:sub>
                <m:r>
                  <w:rPr>
                    <w:rFonts w:ascii="Cambria Math" w:hAnsi="Cambria Math"/>
                  </w:rPr>
                  <m:t>t-1</m:t>
                </m:r>
              </m:sub>
            </m:sSub>
          </m:e>
        </m:nary>
      </m:oMath>
      <w:r w:rsidR="002A4FBC" w:rsidRPr="0085125A">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∆Ln</m:t>
            </m:r>
            <m:sSub>
              <m:sSubPr>
                <m:ctrlPr>
                  <w:rPr>
                    <w:rFonts w:ascii="Cambria Math" w:hAnsi="Cambria Math"/>
                    <w:i/>
                  </w:rPr>
                </m:ctrlPr>
              </m:sSubPr>
              <m:e>
                <m:r>
                  <w:rPr>
                    <w:rFonts w:ascii="Cambria Math" w:hAnsi="Cambria Math"/>
                  </w:rPr>
                  <m:t>Urb</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∆Ln</m:t>
            </m:r>
            <m:sSub>
              <m:sSubPr>
                <m:ctrlPr>
                  <w:rPr>
                    <w:rFonts w:ascii="Cambria Math" w:hAnsi="Cambria Math"/>
                    <w:i/>
                  </w:rPr>
                </m:ctrlPr>
              </m:sSubPr>
              <m:e>
                <m:r>
                  <w:rPr>
                    <w:rFonts w:ascii="Cambria Math" w:hAnsi="Cambria Math"/>
                  </w:rPr>
                  <m:t>FDI</m:t>
                </m:r>
              </m:e>
              <m:sub>
                <m:r>
                  <w:rPr>
                    <w:rFonts w:ascii="Cambria Math" w:hAnsi="Cambria Math"/>
                  </w:rPr>
                  <m:t>t-1</m:t>
                </m:r>
              </m:sub>
            </m:sSub>
          </m:e>
        </m:nary>
      </m:oMath>
      <w:r w:rsidR="002A4FBC" w:rsidRPr="0085125A">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Ind</m:t>
                </m:r>
              </m:e>
              <m:sub>
                <m:r>
                  <w:rPr>
                    <w:rFonts w:ascii="Cambria Math" w:hAnsi="Cambria Math"/>
                  </w:rPr>
                  <m:t>t-1</m:t>
                </m:r>
              </m:sub>
            </m:sSub>
          </m:e>
        </m:nary>
      </m:oMath>
      <w:r w:rsidR="002A4FBC" w:rsidRPr="0085125A">
        <w:rPr>
          <w:rFonts w:eastAsiaTheme="minorEastAsia"/>
        </w:rPr>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7</m:t>
                </m:r>
              </m:sub>
            </m:sSub>
            <m:r>
              <w:rPr>
                <w:rFonts w:ascii="Cambria Math" w:hAnsi="Cambria Math"/>
              </w:rPr>
              <m:t>∆Ln</m:t>
            </m:r>
            <m:sSub>
              <m:sSubPr>
                <m:ctrlPr>
                  <w:rPr>
                    <w:rFonts w:ascii="Cambria Math" w:hAnsi="Cambria Math"/>
                    <w:i/>
                  </w:rPr>
                </m:ctrlPr>
              </m:sSubPr>
              <m:e>
                <m:r>
                  <w:rPr>
                    <w:rFonts w:ascii="Cambria Math" w:hAnsi="Cambria Math"/>
                  </w:rPr>
                  <m:t>TOT</m:t>
                </m:r>
              </m:e>
              <m:sub>
                <m:r>
                  <w:rPr>
                    <w:rFonts w:ascii="Cambria Math" w:hAnsi="Cambria Math"/>
                  </w:rPr>
                  <m:t>t-1</m:t>
                </m:r>
              </m:sub>
            </m:sSub>
          </m:e>
        </m:nary>
      </m:oMath>
    </w:p>
    <w:p w14:paraId="09A5E2A4" w14:textId="77777777" w:rsidR="002A4FBC" w:rsidRPr="0085125A" w:rsidRDefault="002A4FBC" w:rsidP="002A4FBC">
      <w:pPr>
        <w:spacing w:after="200" w:line="360" w:lineRule="auto"/>
        <w:jc w:val="both"/>
      </w:pPr>
      <w:r w:rsidRPr="0085125A">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ηECT</m:t>
            </m:r>
          </m:e>
          <m:sub>
            <m:r>
              <w:rPr>
                <w:rFonts w:ascii="Cambria Math" w:hAnsi="Cambria Math"/>
              </w:rPr>
              <m:t>t-1</m:t>
            </m:r>
          </m:sub>
        </m:sSub>
      </m:oMath>
      <w:r w:rsidRPr="0085125A">
        <w:t>+</w:t>
      </w:r>
      <m:oMath>
        <m:sSub>
          <m:sSubPr>
            <m:ctrlPr>
              <w:rPr>
                <w:rFonts w:ascii="Cambria Math" w:hAnsi="Cambria Math"/>
                <w:i/>
              </w:rPr>
            </m:ctrlPr>
          </m:sSubPr>
          <m:e>
            <m:r>
              <w:rPr>
                <w:rFonts w:ascii="Cambria Math" w:hAnsi="Cambria Math"/>
              </w:rPr>
              <m:t>ϵ</m:t>
            </m:r>
          </m:e>
          <m:sub>
            <m:r>
              <w:rPr>
                <w:rFonts w:ascii="Cambria Math" w:hAnsi="Cambria Math"/>
              </w:rPr>
              <m:t>t</m:t>
            </m:r>
          </m:sub>
        </m:sSub>
      </m:oMath>
      <w:r w:rsidRPr="0085125A">
        <w:t xml:space="preserve">  (7)</w:t>
      </w:r>
    </w:p>
    <w:p w14:paraId="3BF45DC2" w14:textId="77777777" w:rsidR="002A4FBC" w:rsidRPr="0085125A" w:rsidRDefault="002A4FBC" w:rsidP="002A4FBC">
      <w:pPr>
        <w:spacing w:after="200" w:line="360" w:lineRule="auto"/>
        <w:jc w:val="both"/>
      </w:pPr>
      <w:r w:rsidRPr="0085125A">
        <w:t>Where the coefficient of the ECT is represented by η in the estimated model.</w:t>
      </w:r>
    </w:p>
    <w:p w14:paraId="28BDAD73" w14:textId="77777777" w:rsidR="002A4FBC" w:rsidRPr="0085125A" w:rsidRDefault="002A4FBC" w:rsidP="002A4FBC">
      <w:pPr>
        <w:keepNext/>
        <w:keepLines/>
        <w:spacing w:before="40" w:line="360" w:lineRule="auto"/>
        <w:jc w:val="both"/>
        <w:outlineLvl w:val="2"/>
        <w:rPr>
          <w:rFonts w:eastAsiaTheme="majorEastAsia"/>
          <w:b/>
        </w:rPr>
      </w:pPr>
      <w:bookmarkStart w:id="14" w:name="_Toc87879546"/>
      <w:bookmarkStart w:id="15" w:name="_Toc87879719"/>
      <w:r w:rsidRPr="0085125A">
        <w:rPr>
          <w:rFonts w:eastAsiaTheme="majorEastAsia"/>
          <w:b/>
        </w:rPr>
        <w:t>3.2.4. Granger Causality Test</w:t>
      </w:r>
      <w:bookmarkEnd w:id="14"/>
      <w:bookmarkEnd w:id="15"/>
    </w:p>
    <w:p w14:paraId="0FB3E3AE" w14:textId="71CC80A5" w:rsidR="002A4FBC" w:rsidRPr="0085125A" w:rsidRDefault="002A4FBC" w:rsidP="002A4FBC">
      <w:pPr>
        <w:spacing w:after="200" w:line="360" w:lineRule="auto"/>
        <w:jc w:val="both"/>
      </w:pPr>
      <w:r w:rsidRPr="0085125A">
        <w:rPr>
          <w:iCs/>
        </w:rPr>
        <w:t xml:space="preserve">This testing procedure is used to determine the direction of a causality among two variables using granger causality test. </w:t>
      </w:r>
      <w:r w:rsidRPr="0085125A">
        <w:t xml:space="preserve">According to the granger (1969) test, if the past values of X make a significant contribution to forecasting the value of another valuable Y, then that X is a granger cause Y, and vice versa. </w:t>
      </w:r>
    </w:p>
    <w:p w14:paraId="033247F5" w14:textId="77777777" w:rsidR="002A4FBC" w:rsidRPr="0085125A" w:rsidRDefault="002A4FBC" w:rsidP="002A4FBC">
      <w:pPr>
        <w:spacing w:after="200" w:line="360" w:lineRule="auto"/>
        <w:jc w:val="both"/>
      </w:pPr>
      <w:r w:rsidRPr="0085125A">
        <w:t>If the data are not I(1), or even if they are all I(1) but not cointegrated, then there is no long-run relationship between them, according to the Granger causality theories. However, in this scenario, a short-run causal relationship may exists. If they are cointegrated, it means there is a long-run relationship among them, implying causality is at least in one way. Then, the direction of causality is examined using a Vector error correction model (VECM).</w:t>
      </w:r>
    </w:p>
    <w:p w14:paraId="3AFF28E4" w14:textId="77777777" w:rsidR="002A4FBC" w:rsidRPr="0085125A" w:rsidRDefault="002A4FBC" w:rsidP="002A4FBC">
      <w:pPr>
        <w:spacing w:after="200" w:line="360" w:lineRule="auto"/>
        <w:jc w:val="both"/>
      </w:pPr>
      <w:r w:rsidRPr="0085125A">
        <w:t xml:space="preserv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0</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Z=1</m:t>
            </m:r>
          </m:sub>
          <m:sup>
            <m:r>
              <m:rPr>
                <m:sty m:val="p"/>
              </m:rPr>
              <w:rPr>
                <w:rFonts w:ascii="Cambria Math" w:hAnsi="Cambria Math"/>
              </w:rPr>
              <m:t>P</m:t>
            </m:r>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Z</m:t>
                </m:r>
              </m:sub>
            </m:sSub>
          </m:e>
        </m:nary>
        <m:sSub>
          <m:sSubPr>
            <m:ctrlPr>
              <w:rPr>
                <w:rFonts w:ascii="Cambria Math" w:hAnsi="Cambria Math"/>
              </w:rPr>
            </m:ctrlPr>
          </m:sSubPr>
          <m:e>
            <m:r>
              <m:rPr>
                <m:sty m:val="p"/>
              </m:rPr>
              <w:rPr>
                <w:rFonts w:ascii="Cambria Math" w:hAnsi="Cambria Math"/>
              </w:rPr>
              <m:t>Y</m:t>
            </m:r>
          </m:e>
          <m:sub>
            <m:r>
              <m:rPr>
                <m:sty m:val="p"/>
              </m:rPr>
              <w:rPr>
                <w:rFonts w:ascii="Cambria Math" w:hAnsi="Cambria Math"/>
              </w:rPr>
              <m:t>t-z</m:t>
            </m:r>
          </m:sub>
        </m:sSub>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q</m:t>
            </m:r>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z</m:t>
                </m:r>
              </m:sub>
            </m:sSub>
          </m:e>
        </m:nary>
        <m:sSub>
          <m:sSubPr>
            <m:ctrlPr>
              <w:rPr>
                <w:rFonts w:ascii="Cambria Math" w:hAnsi="Cambria Math"/>
              </w:rPr>
            </m:ctrlPr>
          </m:sSubPr>
          <m:e>
            <m:r>
              <m:rPr>
                <m:sty m:val="p"/>
              </m:rPr>
              <w:rPr>
                <w:rFonts w:ascii="Cambria Math" w:hAnsi="Cambria Math"/>
              </w:rPr>
              <m:t>Y</m:t>
            </m:r>
          </m:e>
          <m:sub>
            <m:r>
              <m:rPr>
                <m:sty m:val="p"/>
              </m:rPr>
              <w:rPr>
                <w:rFonts w:ascii="Cambria Math" w:hAnsi="Cambria Math"/>
              </w:rPr>
              <m:t>t-z</m:t>
            </m:r>
          </m:sub>
        </m:sSub>
      </m:oMath>
      <w:r w:rsidRPr="0085125A">
        <w:t>+</w:t>
      </w:r>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q</m:t>
            </m:r>
          </m:sup>
          <m:e>
            <m:sSub>
              <m:sSubPr>
                <m:ctrlPr>
                  <w:rPr>
                    <w:rFonts w:ascii="Cambria Math" w:hAnsi="Cambria Math"/>
                  </w:rPr>
                </m:ctrlPr>
              </m:sSubPr>
              <m:e>
                <m:r>
                  <m:rPr>
                    <m:sty m:val="p"/>
                  </m:rPr>
                  <w:rPr>
                    <w:rFonts w:ascii="Cambria Math" w:hAnsi="Cambria Math"/>
                  </w:rPr>
                  <m:t>ℷ</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t-1</m:t>
                </m:r>
              </m:sub>
            </m:sSub>
          </m:e>
        </m:nary>
      </m:oMath>
      <w:r w:rsidRPr="0085125A">
        <w:t>+</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oMath>
      <w:r w:rsidRPr="0085125A">
        <w:t xml:space="preserve">  (8)</w:t>
      </w:r>
    </w:p>
    <w:p w14:paraId="69D09715" w14:textId="77777777" w:rsidR="002A4FBC" w:rsidRPr="0085125A" w:rsidRDefault="00326B0D" w:rsidP="002A4FBC">
      <w:pPr>
        <w:spacing w:after="200" w:line="360" w:lineRule="auto"/>
        <w:jc w:val="both"/>
      </w:pP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0</m:t>
            </m:r>
          </m:sub>
        </m:sSub>
      </m:oMath>
      <w:r w:rsidR="002A4FBC" w:rsidRPr="0085125A">
        <w:t>+</w:t>
      </w:r>
      <m:oMath>
        <m:nary>
          <m:naryPr>
            <m:chr m:val="∑"/>
            <m:limLoc m:val="undOvr"/>
            <m:ctrlPr>
              <w:rPr>
                <w:rFonts w:ascii="Cambria Math" w:hAnsi="Cambria Math"/>
              </w:rPr>
            </m:ctrlPr>
          </m:naryPr>
          <m:sub>
            <m:r>
              <m:rPr>
                <m:sty m:val="p"/>
              </m:rPr>
              <w:rPr>
                <w:rFonts w:ascii="Cambria Math" w:hAnsi="Cambria Math"/>
              </w:rPr>
              <m:t>z=1</m:t>
            </m:r>
          </m:sub>
          <m:sup>
            <m:r>
              <m:rPr>
                <m:sty m:val="p"/>
              </m:rPr>
              <w:rPr>
                <w:rFonts w:ascii="Cambria Math" w:hAnsi="Cambria Math"/>
              </w:rPr>
              <m:t>p</m:t>
            </m:r>
          </m:sup>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z</m:t>
                </m:r>
              </m:sub>
            </m:sSub>
          </m:e>
        </m:nary>
        <m:sSub>
          <m:sSubPr>
            <m:ctrlPr>
              <w:rPr>
                <w:rFonts w:ascii="Cambria Math" w:hAnsi="Cambria Math"/>
              </w:rPr>
            </m:ctrlPr>
          </m:sSubPr>
          <m:e>
            <m:r>
              <m:rPr>
                <m:sty m:val="p"/>
              </m:rPr>
              <w:rPr>
                <w:rFonts w:ascii="Cambria Math" w:hAnsi="Cambria Math"/>
              </w:rPr>
              <m:t>X</m:t>
            </m:r>
          </m:e>
          <m:sub>
            <m:r>
              <m:rPr>
                <m:sty m:val="p"/>
              </m:rPr>
              <w:rPr>
                <w:rFonts w:ascii="Cambria Math" w:hAnsi="Cambria Math"/>
              </w:rPr>
              <m:t>t-z</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q</m:t>
            </m:r>
          </m:sup>
          <m:e>
            <m:sSub>
              <m:sSubPr>
                <m:ctrlPr>
                  <w:rPr>
                    <w:rFonts w:ascii="Cambria Math" w:hAnsi="Cambria Math"/>
                  </w:rPr>
                </m:ctrlPr>
              </m:sSubPr>
              <m:e>
                <m:r>
                  <m:rPr>
                    <m:sty m:val="p"/>
                  </m:rPr>
                  <w:rPr>
                    <w:rFonts w:ascii="Cambria Math" w:hAnsi="Cambria Math"/>
                  </w:rPr>
                  <m:t>Ψ</m:t>
                </m:r>
              </m:e>
              <m:sub>
                <m:r>
                  <m:rPr>
                    <m:sty m:val="p"/>
                  </m:rPr>
                  <w:rPr>
                    <w:rFonts w:ascii="Cambria Math" w:hAnsi="Cambria Math"/>
                  </w:rPr>
                  <m:t>i</m:t>
                </m:r>
              </m:sub>
            </m:sSub>
          </m:e>
        </m:nary>
        <m:sSub>
          <m:sSubPr>
            <m:ctrlPr>
              <w:rPr>
                <w:rFonts w:ascii="Cambria Math" w:hAnsi="Cambria Math"/>
              </w:rPr>
            </m:ctrlPr>
          </m:sSubPr>
          <m:e>
            <m:r>
              <m:rPr>
                <m:sty m:val="p"/>
              </m:rPr>
              <w:rPr>
                <w:rFonts w:ascii="Cambria Math" w:hAnsi="Cambria Math"/>
              </w:rPr>
              <m:t>Y</m:t>
            </m:r>
          </m:e>
          <m:sub>
            <m:r>
              <m:rPr>
                <m:sty m:val="p"/>
              </m:rPr>
              <w:rPr>
                <w:rFonts w:ascii="Cambria Math" w:hAnsi="Cambria Math"/>
              </w:rPr>
              <m:t>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t</m:t>
            </m:r>
          </m:sub>
        </m:sSub>
      </m:oMath>
      <w:r w:rsidR="002A4FBC" w:rsidRPr="0085125A">
        <w:t xml:space="preserve">  (9)</w:t>
      </w:r>
    </w:p>
    <w:p w14:paraId="0240F2D3" w14:textId="77777777" w:rsidR="002A4FBC" w:rsidRPr="0085125A" w:rsidRDefault="002A4FBC" w:rsidP="002A4FBC">
      <w:pPr>
        <w:spacing w:after="200" w:line="360" w:lineRule="auto"/>
        <w:jc w:val="both"/>
      </w:pPr>
      <w:r w:rsidRPr="0085125A">
        <w:t xml:space="preserve">Where </w:t>
      </w:r>
      <m:oMath>
        <m:sSub>
          <m:sSubPr>
            <m:ctrlPr>
              <w:rPr>
                <w:rFonts w:ascii="Cambria Math" w:hAnsi="Cambria Math"/>
              </w:rPr>
            </m:ctrlPr>
          </m:sSubPr>
          <m:e>
            <m:r>
              <w:rPr>
                <w:rFonts w:ascii="Cambria Math" w:hAnsi="Cambria Math"/>
              </w:rPr>
              <m:t>Y</m:t>
            </m:r>
          </m:e>
          <m:sub>
            <m:r>
              <w:rPr>
                <w:rFonts w:ascii="Cambria Math" w:hAnsi="Cambria Math"/>
              </w:rPr>
              <m:t>t</m:t>
            </m:r>
          </m:sub>
        </m:sSub>
      </m:oMath>
      <w:r w:rsidRPr="0085125A">
        <w:t xml:space="preserve"> and </w:t>
      </w:r>
      <m:oMath>
        <m:sSub>
          <m:sSubPr>
            <m:ctrlPr>
              <w:rPr>
                <w:rFonts w:ascii="Cambria Math" w:hAnsi="Cambria Math"/>
              </w:rPr>
            </m:ctrlPr>
          </m:sSubPr>
          <m:e>
            <m:r>
              <w:rPr>
                <w:rFonts w:ascii="Cambria Math" w:hAnsi="Cambria Math"/>
              </w:rPr>
              <m:t>X</m:t>
            </m:r>
          </m:e>
          <m:sub>
            <m:r>
              <w:rPr>
                <w:rFonts w:ascii="Cambria Math" w:hAnsi="Cambria Math"/>
              </w:rPr>
              <m:t>t</m:t>
            </m:r>
          </m:sub>
        </m:sSub>
      </m:oMath>
      <w:r w:rsidRPr="0085125A">
        <w:t xml:space="preserve"> are the variables in our model, which are </w:t>
      </w:r>
      <m:oMath>
        <m:sSub>
          <m:sSubPr>
            <m:ctrlPr>
              <w:rPr>
                <w:rFonts w:ascii="Cambria Math" w:hAnsi="Cambria Math"/>
              </w:rPr>
            </m:ctrlPr>
          </m:sSubPr>
          <m:e>
            <m:r>
              <w:rPr>
                <w:rFonts w:ascii="Cambria Math" w:hAnsi="Cambria Math"/>
              </w:rPr>
              <m:t>GDP</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Pop</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Urb</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FDI</m:t>
            </m:r>
          </m:e>
          <m:sub>
            <m:r>
              <w:rPr>
                <w:rFonts w:ascii="Cambria Math" w:hAnsi="Cambria Math"/>
              </w:rPr>
              <m:t>t</m:t>
            </m:r>
          </m:sub>
        </m:sSub>
      </m:oMath>
      <w:r w:rsidRPr="0085125A">
        <w:t>, to be tested..</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85125A">
        <w:t xml:space="preserve"> and </w:t>
      </w:r>
      <m:oMath>
        <m:sSub>
          <m:sSubPr>
            <m:ctrlPr>
              <w:rPr>
                <w:rFonts w:ascii="Cambria Math" w:hAnsi="Cambria Math"/>
                <w:i/>
              </w:rPr>
            </m:ctrlPr>
          </m:sSubPr>
          <m:e>
            <m:r>
              <w:rPr>
                <w:rFonts w:ascii="Cambria Math" w:hAnsi="Cambria Math"/>
              </w:rPr>
              <m:t>ε</m:t>
            </m:r>
          </m:e>
          <m:sub>
            <m:r>
              <w:rPr>
                <w:rFonts w:ascii="Cambria Math" w:hAnsi="Cambria Math"/>
              </w:rPr>
              <m:t>t</m:t>
            </m:r>
          </m:sub>
        </m:sSub>
      </m:oMath>
      <w:r w:rsidRPr="0085125A">
        <w:t xml:space="preserve"> are respective error term and t denotes period z and i’s are a number of lags. The null hypothesis </w:t>
      </w:r>
      <m:oMath>
        <m:sSub>
          <m:sSubPr>
            <m:ctrlPr>
              <w:rPr>
                <w:rFonts w:ascii="Cambria Math" w:hAnsi="Cambria Math"/>
                <w:i/>
              </w:rPr>
            </m:ctrlPr>
          </m:sSubPr>
          <m:e>
            <m:r>
              <w:rPr>
                <w:rFonts w:ascii="Cambria Math" w:hAnsi="Cambria Math"/>
              </w:rPr>
              <m:t>ℷ</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=0</m:t>
        </m:r>
      </m:oMath>
      <w:r w:rsidRPr="0085125A">
        <w:t xml:space="preserve"> for all i’s versus the alternative hypothesis th</w:t>
      </w:r>
      <m:oMath>
        <m:r>
          <w:rPr>
            <w:rFonts w:ascii="Cambria Math" w:hAnsi="Cambria Math"/>
          </w:rPr>
          <m:t xml:space="preserve">at </m:t>
        </m:r>
        <m:sSub>
          <m:sSubPr>
            <m:ctrlPr>
              <w:rPr>
                <w:rFonts w:ascii="Cambria Math" w:hAnsi="Cambria Math"/>
                <w:i/>
              </w:rPr>
            </m:ctrlPr>
          </m:sSubPr>
          <m:e>
            <m:r>
              <w:rPr>
                <w:rFonts w:ascii="Cambria Math" w:hAnsi="Cambria Math"/>
              </w:rPr>
              <m:t>ℷ</m:t>
            </m:r>
          </m:e>
          <m:sub>
            <m:r>
              <w:rPr>
                <w:rFonts w:ascii="Cambria Math" w:hAnsi="Cambria Math"/>
              </w:rPr>
              <m:t>i</m:t>
            </m:r>
          </m:sub>
        </m:sSub>
        <m:r>
          <w:rPr>
            <w:rFonts w:ascii="Cambria Math" w:hAnsi="Cambria Math"/>
          </w:rPr>
          <m:t xml:space="preserve">≠0 and  </m:t>
        </m:r>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≠0</m:t>
        </m:r>
      </m:oMath>
      <w:r w:rsidRPr="0085125A">
        <w:t xml:space="preserve"> for at least some i’s if the coefficient </w:t>
      </w:r>
      <m:oMath>
        <m:sSub>
          <m:sSubPr>
            <m:ctrlPr>
              <w:rPr>
                <w:rFonts w:ascii="Cambria Math" w:hAnsi="Cambria Math"/>
                <w:i/>
              </w:rPr>
            </m:ctrlPr>
          </m:sSubPr>
          <m:e>
            <m:r>
              <w:rPr>
                <w:rFonts w:ascii="Cambria Math" w:hAnsi="Cambria Math"/>
              </w:rPr>
              <m:t>ℷ</m:t>
            </m:r>
          </m:e>
          <m:sub>
            <m:r>
              <w:rPr>
                <w:rFonts w:ascii="Cambria Math" w:hAnsi="Cambria Math"/>
              </w:rPr>
              <m:t>i</m:t>
            </m:r>
          </m:sub>
        </m:sSub>
      </m:oMath>
      <w:r w:rsidRPr="0085125A">
        <w:t xml:space="preserve"> are statistically significant but </w:t>
      </w:r>
      <m:oMath>
        <m:sSub>
          <m:sSubPr>
            <m:ctrlPr>
              <w:rPr>
                <w:rFonts w:ascii="Cambria Math" w:hAnsi="Cambria Math"/>
                <w:i/>
              </w:rPr>
            </m:ctrlPr>
          </m:sSubPr>
          <m:e>
            <m:r>
              <w:rPr>
                <w:rFonts w:ascii="Cambria Math" w:hAnsi="Cambria Math"/>
              </w:rPr>
              <m:t>Ψ</m:t>
            </m:r>
          </m:e>
          <m:sub>
            <m:r>
              <w:rPr>
                <w:rFonts w:ascii="Cambria Math" w:hAnsi="Cambria Math"/>
              </w:rPr>
              <m:t>i</m:t>
            </m:r>
          </m:sub>
        </m:sSub>
      </m:oMath>
      <w:r w:rsidRPr="0085125A">
        <w:t xml:space="preserve"> are not, then X causes Y and vice versa, but If both coefficients are significant, causation is present in both directions. </w:t>
      </w:r>
    </w:p>
    <w:p w14:paraId="10B0353D" w14:textId="77777777" w:rsidR="002A4FBC" w:rsidRPr="0085125A" w:rsidRDefault="002A4FBC" w:rsidP="002A4FBC">
      <w:pPr>
        <w:spacing w:after="200" w:line="360" w:lineRule="auto"/>
        <w:jc w:val="both"/>
        <w:rPr>
          <w:b/>
        </w:rPr>
      </w:pPr>
      <w:r w:rsidRPr="0085125A">
        <w:rPr>
          <w:b/>
        </w:rPr>
        <w:t xml:space="preserve"> 4. EMPIRICAL RESULTS AND DISCUSSION</w:t>
      </w:r>
    </w:p>
    <w:p w14:paraId="52F71B8F" w14:textId="77777777" w:rsidR="002A4FBC" w:rsidRPr="0085125A" w:rsidRDefault="002A4FBC" w:rsidP="002A4FBC">
      <w:pPr>
        <w:spacing w:after="200" w:line="276" w:lineRule="auto"/>
        <w:jc w:val="both"/>
      </w:pPr>
      <w:r w:rsidRPr="0085125A">
        <w:t>This section presents the results of the econometric analysis and a discussion of the main findings from OLS baseline model. The section further presents the findings of the unit root test, cointegration test, granger causality test, and</w:t>
      </w:r>
      <w:r w:rsidRPr="00013CCE">
        <w:t xml:space="preserve"> the Error Correction Model.  </w:t>
      </w:r>
    </w:p>
    <w:p w14:paraId="400E9E97" w14:textId="77777777" w:rsidR="00013CCE" w:rsidRDefault="00013CCE" w:rsidP="00013CCE">
      <w:pPr>
        <w:spacing w:after="200" w:line="276" w:lineRule="auto"/>
        <w:jc w:val="both"/>
        <w:rPr>
          <w:b/>
        </w:rPr>
      </w:pPr>
    </w:p>
    <w:p w14:paraId="7AB528DA" w14:textId="50D2BFA3" w:rsidR="00013CCE" w:rsidRDefault="002A4FBC" w:rsidP="00013CCE">
      <w:pPr>
        <w:spacing w:after="200" w:line="276" w:lineRule="auto"/>
        <w:jc w:val="both"/>
        <w:rPr>
          <w:b/>
        </w:rPr>
      </w:pPr>
      <w:r w:rsidRPr="00013CCE">
        <w:rPr>
          <w:b/>
        </w:rPr>
        <w:lastRenderedPageBreak/>
        <w:t>4.1. Results of OLS Estimation</w:t>
      </w:r>
    </w:p>
    <w:p w14:paraId="2477CFB9" w14:textId="5062D5E9" w:rsidR="002B28FA" w:rsidRPr="00013CCE" w:rsidRDefault="002A4FBC" w:rsidP="00013CCE">
      <w:pPr>
        <w:spacing w:after="200" w:line="276" w:lineRule="auto"/>
        <w:jc w:val="both"/>
        <w:rPr>
          <w:b/>
        </w:rPr>
      </w:pPr>
      <w:r w:rsidRPr="0085125A">
        <w:t xml:space="preserve">The table 5 below presents the results of OLS estimation approach examining the effects of control variables (macroeconomic variables) on the final energy consumption in Rwanda. </w:t>
      </w:r>
    </w:p>
    <w:p w14:paraId="15C15888" w14:textId="28F21604" w:rsidR="002A4FBC" w:rsidRPr="0085125A" w:rsidRDefault="002A4FBC" w:rsidP="002B28FA">
      <w:pPr>
        <w:spacing w:after="200" w:line="360" w:lineRule="auto"/>
        <w:jc w:val="both"/>
      </w:pPr>
      <w:r w:rsidRPr="0085125A">
        <w:t>Table 5: Presents the effects of macroeconomic variables o</w:t>
      </w:r>
      <w:r w:rsidR="002B28FA" w:rsidRPr="0085125A">
        <w:t>n Total Final Energy Consumptio</w:t>
      </w:r>
      <w:r w:rsidR="00ED0194" w:rsidRPr="0085125A">
        <w:t>n</w:t>
      </w:r>
    </w:p>
    <w:tbl>
      <w:tblPr>
        <w:tblW w:w="0" w:type="auto"/>
        <w:jc w:val="center"/>
        <w:tblLayout w:type="fixed"/>
        <w:tblCellMar>
          <w:left w:w="75" w:type="dxa"/>
          <w:right w:w="75" w:type="dxa"/>
        </w:tblCellMar>
        <w:tblLook w:val="0000" w:firstRow="0" w:lastRow="0" w:firstColumn="0" w:lastColumn="0" w:noHBand="0" w:noVBand="0"/>
      </w:tblPr>
      <w:tblGrid>
        <w:gridCol w:w="5465"/>
        <w:gridCol w:w="3290"/>
      </w:tblGrid>
      <w:tr w:rsidR="00E41968" w:rsidRPr="0085125A" w14:paraId="5AFFFE15" w14:textId="77777777" w:rsidTr="00ED0194">
        <w:trPr>
          <w:jc w:val="center"/>
        </w:trPr>
        <w:tc>
          <w:tcPr>
            <w:tcW w:w="5465" w:type="dxa"/>
            <w:tcBorders>
              <w:top w:val="single" w:sz="6" w:space="0" w:color="auto"/>
              <w:left w:val="nil"/>
              <w:bottom w:val="nil"/>
              <w:right w:val="nil"/>
            </w:tcBorders>
          </w:tcPr>
          <w:p w14:paraId="30488709" w14:textId="77777777" w:rsidR="00E41968" w:rsidRPr="0085125A" w:rsidRDefault="00E41968" w:rsidP="00E41968">
            <w:pPr>
              <w:widowControl w:val="0"/>
              <w:autoSpaceDE w:val="0"/>
              <w:autoSpaceDN w:val="0"/>
              <w:adjustRightInd w:val="0"/>
            </w:pPr>
          </w:p>
        </w:tc>
        <w:tc>
          <w:tcPr>
            <w:tcW w:w="3290" w:type="dxa"/>
            <w:tcBorders>
              <w:top w:val="single" w:sz="6" w:space="0" w:color="auto"/>
              <w:left w:val="nil"/>
              <w:bottom w:val="nil"/>
              <w:right w:val="nil"/>
            </w:tcBorders>
          </w:tcPr>
          <w:p w14:paraId="69712B73" w14:textId="64CD7919" w:rsidR="00E41968" w:rsidRPr="0085125A" w:rsidRDefault="00E41968" w:rsidP="00E41968">
            <w:pPr>
              <w:widowControl w:val="0"/>
              <w:autoSpaceDE w:val="0"/>
              <w:autoSpaceDN w:val="0"/>
              <w:adjustRightInd w:val="0"/>
              <w:jc w:val="center"/>
            </w:pPr>
          </w:p>
        </w:tc>
      </w:tr>
      <w:tr w:rsidR="00E41968" w:rsidRPr="0085125A" w14:paraId="57B5F285" w14:textId="77777777" w:rsidTr="00ED0194">
        <w:trPr>
          <w:jc w:val="center"/>
        </w:trPr>
        <w:tc>
          <w:tcPr>
            <w:tcW w:w="5465" w:type="dxa"/>
            <w:tcBorders>
              <w:top w:val="nil"/>
              <w:left w:val="nil"/>
              <w:bottom w:val="single" w:sz="6" w:space="0" w:color="auto"/>
              <w:right w:val="nil"/>
            </w:tcBorders>
          </w:tcPr>
          <w:p w14:paraId="29C34FA9" w14:textId="77777777" w:rsidR="00E41968" w:rsidRPr="0085125A" w:rsidRDefault="00E41968" w:rsidP="00E41968">
            <w:pPr>
              <w:widowControl w:val="0"/>
              <w:autoSpaceDE w:val="0"/>
              <w:autoSpaceDN w:val="0"/>
              <w:adjustRightInd w:val="0"/>
            </w:pPr>
            <w:r w:rsidRPr="0085125A">
              <w:t>VARIABLES</w:t>
            </w:r>
          </w:p>
        </w:tc>
        <w:tc>
          <w:tcPr>
            <w:tcW w:w="3290" w:type="dxa"/>
            <w:tcBorders>
              <w:top w:val="nil"/>
              <w:left w:val="nil"/>
              <w:bottom w:val="single" w:sz="6" w:space="0" w:color="auto"/>
              <w:right w:val="nil"/>
            </w:tcBorders>
          </w:tcPr>
          <w:p w14:paraId="44D3CCAD" w14:textId="2578F173" w:rsidR="00E41968" w:rsidRPr="0085125A" w:rsidRDefault="00E41968" w:rsidP="00E41968">
            <w:pPr>
              <w:widowControl w:val="0"/>
              <w:autoSpaceDE w:val="0"/>
              <w:autoSpaceDN w:val="0"/>
              <w:adjustRightInd w:val="0"/>
              <w:jc w:val="center"/>
            </w:pPr>
            <w:r w:rsidRPr="0085125A">
              <w:t>Total final energy consumption</w:t>
            </w:r>
          </w:p>
        </w:tc>
      </w:tr>
      <w:tr w:rsidR="00E41968" w:rsidRPr="0085125A" w14:paraId="5DBE8588" w14:textId="77777777" w:rsidTr="00ED0194">
        <w:trPr>
          <w:jc w:val="center"/>
        </w:trPr>
        <w:tc>
          <w:tcPr>
            <w:tcW w:w="5465" w:type="dxa"/>
            <w:tcBorders>
              <w:top w:val="nil"/>
              <w:left w:val="nil"/>
              <w:bottom w:val="nil"/>
              <w:right w:val="nil"/>
            </w:tcBorders>
          </w:tcPr>
          <w:p w14:paraId="7A25B7D9"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140AF061" w14:textId="77777777" w:rsidR="00E41968" w:rsidRPr="0085125A" w:rsidRDefault="00E41968" w:rsidP="001C2292">
            <w:pPr>
              <w:widowControl w:val="0"/>
              <w:autoSpaceDE w:val="0"/>
              <w:autoSpaceDN w:val="0"/>
              <w:adjustRightInd w:val="0"/>
              <w:jc w:val="center"/>
            </w:pPr>
          </w:p>
        </w:tc>
      </w:tr>
      <w:tr w:rsidR="00E41968" w:rsidRPr="0085125A" w14:paraId="14E9DAF7" w14:textId="77777777" w:rsidTr="00ED0194">
        <w:trPr>
          <w:jc w:val="center"/>
        </w:trPr>
        <w:tc>
          <w:tcPr>
            <w:tcW w:w="5465" w:type="dxa"/>
            <w:tcBorders>
              <w:top w:val="nil"/>
              <w:left w:val="nil"/>
              <w:bottom w:val="nil"/>
              <w:right w:val="nil"/>
            </w:tcBorders>
          </w:tcPr>
          <w:p w14:paraId="71159D2E" w14:textId="6EE42696" w:rsidR="00E41968" w:rsidRPr="0085125A" w:rsidRDefault="00E41968" w:rsidP="00E41968">
            <w:pPr>
              <w:widowControl w:val="0"/>
              <w:autoSpaceDE w:val="0"/>
              <w:autoSpaceDN w:val="0"/>
              <w:adjustRightInd w:val="0"/>
            </w:pPr>
            <w:r w:rsidRPr="0085125A">
              <w:t>GDP per capita</w:t>
            </w:r>
          </w:p>
        </w:tc>
        <w:tc>
          <w:tcPr>
            <w:tcW w:w="3290" w:type="dxa"/>
            <w:tcBorders>
              <w:top w:val="nil"/>
              <w:left w:val="nil"/>
              <w:bottom w:val="nil"/>
              <w:right w:val="nil"/>
            </w:tcBorders>
          </w:tcPr>
          <w:p w14:paraId="653BD855" w14:textId="77777777" w:rsidR="00E41968" w:rsidRPr="0085125A" w:rsidRDefault="00E41968" w:rsidP="00E41968">
            <w:pPr>
              <w:widowControl w:val="0"/>
              <w:autoSpaceDE w:val="0"/>
              <w:autoSpaceDN w:val="0"/>
              <w:adjustRightInd w:val="0"/>
              <w:jc w:val="center"/>
            </w:pPr>
            <w:r w:rsidRPr="0085125A">
              <w:t>0.572***</w:t>
            </w:r>
          </w:p>
        </w:tc>
      </w:tr>
      <w:tr w:rsidR="00E41968" w:rsidRPr="0085125A" w14:paraId="239B7A86" w14:textId="77777777" w:rsidTr="00ED0194">
        <w:trPr>
          <w:jc w:val="center"/>
        </w:trPr>
        <w:tc>
          <w:tcPr>
            <w:tcW w:w="5465" w:type="dxa"/>
            <w:tcBorders>
              <w:top w:val="nil"/>
              <w:left w:val="nil"/>
              <w:bottom w:val="nil"/>
              <w:right w:val="nil"/>
            </w:tcBorders>
          </w:tcPr>
          <w:p w14:paraId="6A81E0AA"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1394B6AC" w14:textId="77777777" w:rsidR="00E41968" w:rsidRPr="0085125A" w:rsidRDefault="00E41968" w:rsidP="001C2292">
            <w:pPr>
              <w:widowControl w:val="0"/>
              <w:autoSpaceDE w:val="0"/>
              <w:autoSpaceDN w:val="0"/>
              <w:adjustRightInd w:val="0"/>
              <w:jc w:val="center"/>
            </w:pPr>
            <w:r w:rsidRPr="0085125A">
              <w:t>(0.174)</w:t>
            </w:r>
          </w:p>
        </w:tc>
      </w:tr>
      <w:tr w:rsidR="00E41968" w:rsidRPr="0085125A" w14:paraId="5814A885" w14:textId="77777777" w:rsidTr="00ED0194">
        <w:trPr>
          <w:jc w:val="center"/>
        </w:trPr>
        <w:tc>
          <w:tcPr>
            <w:tcW w:w="5465" w:type="dxa"/>
            <w:tcBorders>
              <w:top w:val="nil"/>
              <w:left w:val="nil"/>
              <w:bottom w:val="nil"/>
              <w:right w:val="nil"/>
            </w:tcBorders>
          </w:tcPr>
          <w:p w14:paraId="1EB81DE7" w14:textId="6511CEE1" w:rsidR="00E41968" w:rsidRPr="0085125A" w:rsidRDefault="00E41968" w:rsidP="001C2292">
            <w:pPr>
              <w:widowControl w:val="0"/>
              <w:autoSpaceDE w:val="0"/>
              <w:autoSpaceDN w:val="0"/>
              <w:adjustRightInd w:val="0"/>
            </w:pPr>
            <w:r w:rsidRPr="0085125A">
              <w:t>Population</w:t>
            </w:r>
          </w:p>
        </w:tc>
        <w:tc>
          <w:tcPr>
            <w:tcW w:w="3290" w:type="dxa"/>
            <w:tcBorders>
              <w:top w:val="nil"/>
              <w:left w:val="nil"/>
              <w:bottom w:val="nil"/>
              <w:right w:val="nil"/>
            </w:tcBorders>
          </w:tcPr>
          <w:p w14:paraId="185FFBBD" w14:textId="77777777" w:rsidR="00E41968" w:rsidRPr="0085125A" w:rsidRDefault="00E41968" w:rsidP="001C2292">
            <w:pPr>
              <w:widowControl w:val="0"/>
              <w:autoSpaceDE w:val="0"/>
              <w:autoSpaceDN w:val="0"/>
              <w:adjustRightInd w:val="0"/>
              <w:jc w:val="center"/>
            </w:pPr>
            <w:r w:rsidRPr="0085125A">
              <w:t>0.0468***</w:t>
            </w:r>
          </w:p>
        </w:tc>
      </w:tr>
      <w:tr w:rsidR="00E41968" w:rsidRPr="0085125A" w14:paraId="542C70D7" w14:textId="77777777" w:rsidTr="00ED0194">
        <w:trPr>
          <w:jc w:val="center"/>
        </w:trPr>
        <w:tc>
          <w:tcPr>
            <w:tcW w:w="5465" w:type="dxa"/>
            <w:tcBorders>
              <w:top w:val="nil"/>
              <w:left w:val="nil"/>
              <w:bottom w:val="nil"/>
              <w:right w:val="nil"/>
            </w:tcBorders>
          </w:tcPr>
          <w:p w14:paraId="2B91D1CE"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142A9D5C" w14:textId="77777777" w:rsidR="00E41968" w:rsidRPr="0085125A" w:rsidRDefault="00E41968" w:rsidP="001C2292">
            <w:pPr>
              <w:widowControl w:val="0"/>
              <w:autoSpaceDE w:val="0"/>
              <w:autoSpaceDN w:val="0"/>
              <w:adjustRightInd w:val="0"/>
              <w:jc w:val="center"/>
            </w:pPr>
            <w:r w:rsidRPr="0085125A">
              <w:t>(0.00960)</w:t>
            </w:r>
          </w:p>
        </w:tc>
      </w:tr>
      <w:tr w:rsidR="00E41968" w:rsidRPr="0085125A" w14:paraId="5B7B74FE" w14:textId="77777777" w:rsidTr="00ED0194">
        <w:trPr>
          <w:jc w:val="center"/>
        </w:trPr>
        <w:tc>
          <w:tcPr>
            <w:tcW w:w="5465" w:type="dxa"/>
            <w:tcBorders>
              <w:top w:val="nil"/>
              <w:left w:val="nil"/>
              <w:bottom w:val="nil"/>
              <w:right w:val="nil"/>
            </w:tcBorders>
          </w:tcPr>
          <w:p w14:paraId="47F1D979" w14:textId="723C033E" w:rsidR="00E41968" w:rsidRPr="0085125A" w:rsidRDefault="00E41968" w:rsidP="00E41968">
            <w:pPr>
              <w:widowControl w:val="0"/>
              <w:autoSpaceDE w:val="0"/>
              <w:autoSpaceDN w:val="0"/>
              <w:adjustRightInd w:val="0"/>
            </w:pPr>
            <w:r w:rsidRPr="0085125A">
              <w:t>FDI%GDP</w:t>
            </w:r>
          </w:p>
        </w:tc>
        <w:tc>
          <w:tcPr>
            <w:tcW w:w="3290" w:type="dxa"/>
            <w:tcBorders>
              <w:top w:val="nil"/>
              <w:left w:val="nil"/>
              <w:bottom w:val="nil"/>
              <w:right w:val="nil"/>
            </w:tcBorders>
          </w:tcPr>
          <w:p w14:paraId="2430C9FB" w14:textId="77777777" w:rsidR="00E41968" w:rsidRPr="0085125A" w:rsidRDefault="00E41968" w:rsidP="00E41968">
            <w:pPr>
              <w:widowControl w:val="0"/>
              <w:autoSpaceDE w:val="0"/>
              <w:autoSpaceDN w:val="0"/>
              <w:adjustRightInd w:val="0"/>
              <w:jc w:val="center"/>
            </w:pPr>
            <w:r w:rsidRPr="0085125A">
              <w:t>-0.0214</w:t>
            </w:r>
          </w:p>
        </w:tc>
      </w:tr>
      <w:tr w:rsidR="00E41968" w:rsidRPr="0085125A" w14:paraId="2E717E85" w14:textId="77777777" w:rsidTr="00ED0194">
        <w:trPr>
          <w:jc w:val="center"/>
        </w:trPr>
        <w:tc>
          <w:tcPr>
            <w:tcW w:w="5465" w:type="dxa"/>
            <w:tcBorders>
              <w:top w:val="nil"/>
              <w:left w:val="nil"/>
              <w:bottom w:val="nil"/>
              <w:right w:val="nil"/>
            </w:tcBorders>
          </w:tcPr>
          <w:p w14:paraId="2A442D49"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148A0A69" w14:textId="77777777" w:rsidR="00E41968" w:rsidRPr="0085125A" w:rsidRDefault="00E41968" w:rsidP="001C2292">
            <w:pPr>
              <w:widowControl w:val="0"/>
              <w:autoSpaceDE w:val="0"/>
              <w:autoSpaceDN w:val="0"/>
              <w:adjustRightInd w:val="0"/>
              <w:jc w:val="center"/>
            </w:pPr>
            <w:r w:rsidRPr="0085125A">
              <w:t>(0.0206)</w:t>
            </w:r>
          </w:p>
        </w:tc>
      </w:tr>
      <w:tr w:rsidR="00E41968" w:rsidRPr="0085125A" w14:paraId="7ED948CB" w14:textId="77777777" w:rsidTr="00ED0194">
        <w:trPr>
          <w:jc w:val="center"/>
        </w:trPr>
        <w:tc>
          <w:tcPr>
            <w:tcW w:w="5465" w:type="dxa"/>
            <w:tcBorders>
              <w:top w:val="nil"/>
              <w:left w:val="nil"/>
              <w:bottom w:val="nil"/>
              <w:right w:val="nil"/>
            </w:tcBorders>
          </w:tcPr>
          <w:p w14:paraId="530F78E0" w14:textId="58853DFC" w:rsidR="00E41968" w:rsidRPr="0085125A" w:rsidRDefault="00E41968" w:rsidP="001C2292">
            <w:pPr>
              <w:widowControl w:val="0"/>
              <w:autoSpaceDE w:val="0"/>
              <w:autoSpaceDN w:val="0"/>
              <w:adjustRightInd w:val="0"/>
            </w:pPr>
            <w:r w:rsidRPr="0085125A">
              <w:t>Urbanization</w:t>
            </w:r>
          </w:p>
        </w:tc>
        <w:tc>
          <w:tcPr>
            <w:tcW w:w="3290" w:type="dxa"/>
            <w:tcBorders>
              <w:top w:val="nil"/>
              <w:left w:val="nil"/>
              <w:bottom w:val="nil"/>
              <w:right w:val="nil"/>
            </w:tcBorders>
          </w:tcPr>
          <w:p w14:paraId="139D0AEF" w14:textId="77777777" w:rsidR="00E41968" w:rsidRPr="0085125A" w:rsidRDefault="00E41968" w:rsidP="001C2292">
            <w:pPr>
              <w:widowControl w:val="0"/>
              <w:autoSpaceDE w:val="0"/>
              <w:autoSpaceDN w:val="0"/>
              <w:adjustRightInd w:val="0"/>
              <w:jc w:val="center"/>
            </w:pPr>
            <w:r w:rsidRPr="0085125A">
              <w:t>0.0362</w:t>
            </w:r>
          </w:p>
        </w:tc>
      </w:tr>
      <w:tr w:rsidR="00E41968" w:rsidRPr="0085125A" w14:paraId="1BFAA24A" w14:textId="77777777" w:rsidTr="00ED0194">
        <w:trPr>
          <w:jc w:val="center"/>
        </w:trPr>
        <w:tc>
          <w:tcPr>
            <w:tcW w:w="5465" w:type="dxa"/>
            <w:tcBorders>
              <w:top w:val="nil"/>
              <w:left w:val="nil"/>
              <w:bottom w:val="nil"/>
              <w:right w:val="nil"/>
            </w:tcBorders>
          </w:tcPr>
          <w:p w14:paraId="70CA888F"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24E5B6AF" w14:textId="77777777" w:rsidR="00E41968" w:rsidRPr="0085125A" w:rsidRDefault="00E41968" w:rsidP="001C2292">
            <w:pPr>
              <w:widowControl w:val="0"/>
              <w:autoSpaceDE w:val="0"/>
              <w:autoSpaceDN w:val="0"/>
              <w:adjustRightInd w:val="0"/>
              <w:jc w:val="center"/>
            </w:pPr>
            <w:r w:rsidRPr="0085125A">
              <w:t>(0.102)</w:t>
            </w:r>
          </w:p>
        </w:tc>
      </w:tr>
      <w:tr w:rsidR="00E41968" w:rsidRPr="0085125A" w14:paraId="34E2A417" w14:textId="77777777" w:rsidTr="00ED0194">
        <w:trPr>
          <w:jc w:val="center"/>
        </w:trPr>
        <w:tc>
          <w:tcPr>
            <w:tcW w:w="5465" w:type="dxa"/>
            <w:tcBorders>
              <w:top w:val="nil"/>
              <w:left w:val="nil"/>
              <w:bottom w:val="nil"/>
              <w:right w:val="nil"/>
            </w:tcBorders>
          </w:tcPr>
          <w:p w14:paraId="7930B716" w14:textId="63F6E1C8" w:rsidR="00E41968" w:rsidRPr="0085125A" w:rsidRDefault="00266583" w:rsidP="001C2292">
            <w:pPr>
              <w:widowControl w:val="0"/>
              <w:autoSpaceDE w:val="0"/>
              <w:autoSpaceDN w:val="0"/>
              <w:adjustRightInd w:val="0"/>
            </w:pPr>
            <w:r w:rsidRPr="0085125A">
              <w:t>I</w:t>
            </w:r>
            <w:r w:rsidR="00E41968" w:rsidRPr="0085125A">
              <w:t>ndustrialization</w:t>
            </w:r>
          </w:p>
        </w:tc>
        <w:tc>
          <w:tcPr>
            <w:tcW w:w="3290" w:type="dxa"/>
            <w:tcBorders>
              <w:top w:val="nil"/>
              <w:left w:val="nil"/>
              <w:bottom w:val="nil"/>
              <w:right w:val="nil"/>
            </w:tcBorders>
          </w:tcPr>
          <w:p w14:paraId="5CECCEC3" w14:textId="77777777" w:rsidR="00E41968" w:rsidRPr="0085125A" w:rsidRDefault="00E41968" w:rsidP="001C2292">
            <w:pPr>
              <w:widowControl w:val="0"/>
              <w:autoSpaceDE w:val="0"/>
              <w:autoSpaceDN w:val="0"/>
              <w:adjustRightInd w:val="0"/>
              <w:jc w:val="center"/>
            </w:pPr>
            <w:r w:rsidRPr="0085125A">
              <w:t>0.0362***</w:t>
            </w:r>
          </w:p>
        </w:tc>
      </w:tr>
      <w:tr w:rsidR="00E41968" w:rsidRPr="0085125A" w14:paraId="04F4EBBC" w14:textId="77777777" w:rsidTr="00ED0194">
        <w:trPr>
          <w:jc w:val="center"/>
        </w:trPr>
        <w:tc>
          <w:tcPr>
            <w:tcW w:w="5465" w:type="dxa"/>
            <w:tcBorders>
              <w:top w:val="nil"/>
              <w:left w:val="nil"/>
              <w:bottom w:val="nil"/>
              <w:right w:val="nil"/>
            </w:tcBorders>
          </w:tcPr>
          <w:p w14:paraId="75BDD40E"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0E7D04CA" w14:textId="77777777" w:rsidR="00E41968" w:rsidRPr="0085125A" w:rsidRDefault="00E41968" w:rsidP="001C2292">
            <w:pPr>
              <w:widowControl w:val="0"/>
              <w:autoSpaceDE w:val="0"/>
              <w:autoSpaceDN w:val="0"/>
              <w:adjustRightInd w:val="0"/>
              <w:jc w:val="center"/>
            </w:pPr>
            <w:r w:rsidRPr="0085125A">
              <w:t>(0.0106)</w:t>
            </w:r>
          </w:p>
        </w:tc>
      </w:tr>
      <w:tr w:rsidR="00E41968" w:rsidRPr="0085125A" w14:paraId="3C60325F" w14:textId="77777777" w:rsidTr="00ED0194">
        <w:trPr>
          <w:jc w:val="center"/>
        </w:trPr>
        <w:tc>
          <w:tcPr>
            <w:tcW w:w="5465" w:type="dxa"/>
            <w:tcBorders>
              <w:top w:val="nil"/>
              <w:left w:val="nil"/>
              <w:bottom w:val="nil"/>
              <w:right w:val="nil"/>
            </w:tcBorders>
          </w:tcPr>
          <w:p w14:paraId="43042BE4" w14:textId="62451124" w:rsidR="00E41968" w:rsidRPr="0085125A" w:rsidRDefault="00E41968" w:rsidP="001C2292">
            <w:pPr>
              <w:widowControl w:val="0"/>
              <w:autoSpaceDE w:val="0"/>
              <w:autoSpaceDN w:val="0"/>
              <w:adjustRightInd w:val="0"/>
            </w:pPr>
            <w:r w:rsidRPr="0085125A">
              <w:t xml:space="preserve">Trade </w:t>
            </w:r>
            <w:r w:rsidR="002B28FA" w:rsidRPr="0085125A">
              <w:t>openness</w:t>
            </w:r>
          </w:p>
        </w:tc>
        <w:tc>
          <w:tcPr>
            <w:tcW w:w="3290" w:type="dxa"/>
            <w:tcBorders>
              <w:top w:val="nil"/>
              <w:left w:val="nil"/>
              <w:bottom w:val="nil"/>
              <w:right w:val="nil"/>
            </w:tcBorders>
          </w:tcPr>
          <w:p w14:paraId="1214A432" w14:textId="77777777" w:rsidR="00E41968" w:rsidRPr="0085125A" w:rsidRDefault="00E41968" w:rsidP="001C2292">
            <w:pPr>
              <w:widowControl w:val="0"/>
              <w:autoSpaceDE w:val="0"/>
              <w:autoSpaceDN w:val="0"/>
              <w:adjustRightInd w:val="0"/>
              <w:jc w:val="center"/>
            </w:pPr>
            <w:r w:rsidRPr="0085125A">
              <w:t>0.145</w:t>
            </w:r>
          </w:p>
        </w:tc>
      </w:tr>
      <w:tr w:rsidR="00E41968" w:rsidRPr="0085125A" w14:paraId="5E3A3506" w14:textId="77777777" w:rsidTr="00ED0194">
        <w:trPr>
          <w:jc w:val="center"/>
        </w:trPr>
        <w:tc>
          <w:tcPr>
            <w:tcW w:w="5465" w:type="dxa"/>
            <w:tcBorders>
              <w:top w:val="nil"/>
              <w:left w:val="nil"/>
              <w:bottom w:val="nil"/>
              <w:right w:val="nil"/>
            </w:tcBorders>
          </w:tcPr>
          <w:p w14:paraId="5179375C"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324D9DE3" w14:textId="77777777" w:rsidR="00E41968" w:rsidRPr="0085125A" w:rsidRDefault="00E41968" w:rsidP="001C2292">
            <w:pPr>
              <w:widowControl w:val="0"/>
              <w:autoSpaceDE w:val="0"/>
              <w:autoSpaceDN w:val="0"/>
              <w:adjustRightInd w:val="0"/>
              <w:jc w:val="center"/>
            </w:pPr>
            <w:r w:rsidRPr="0085125A">
              <w:t>(0.129)</w:t>
            </w:r>
          </w:p>
        </w:tc>
      </w:tr>
      <w:tr w:rsidR="00E41968" w:rsidRPr="0085125A" w14:paraId="5B6AEBD5" w14:textId="77777777" w:rsidTr="00ED0194">
        <w:trPr>
          <w:jc w:val="center"/>
        </w:trPr>
        <w:tc>
          <w:tcPr>
            <w:tcW w:w="5465" w:type="dxa"/>
            <w:tcBorders>
              <w:top w:val="nil"/>
              <w:left w:val="nil"/>
              <w:bottom w:val="nil"/>
              <w:right w:val="nil"/>
            </w:tcBorders>
          </w:tcPr>
          <w:p w14:paraId="7A1119E4" w14:textId="71DBA65F" w:rsidR="00E41968" w:rsidRPr="0085125A" w:rsidRDefault="00E41968" w:rsidP="00E41968">
            <w:pPr>
              <w:widowControl w:val="0"/>
              <w:autoSpaceDE w:val="0"/>
              <w:autoSpaceDN w:val="0"/>
              <w:adjustRightInd w:val="0"/>
            </w:pPr>
            <w:r w:rsidRPr="0085125A">
              <w:t>ToT</w:t>
            </w:r>
            <w:r w:rsidR="002B28FA" w:rsidRPr="0085125A">
              <w:t>*</w:t>
            </w:r>
            <w:r w:rsidR="00A827DD">
              <w:t>Indust</w:t>
            </w:r>
          </w:p>
        </w:tc>
        <w:tc>
          <w:tcPr>
            <w:tcW w:w="3290" w:type="dxa"/>
            <w:tcBorders>
              <w:top w:val="nil"/>
              <w:left w:val="nil"/>
              <w:bottom w:val="nil"/>
              <w:right w:val="nil"/>
            </w:tcBorders>
          </w:tcPr>
          <w:p w14:paraId="7D1B438C" w14:textId="77777777" w:rsidR="00E41968" w:rsidRPr="0085125A" w:rsidRDefault="00E41968" w:rsidP="001C2292">
            <w:pPr>
              <w:widowControl w:val="0"/>
              <w:autoSpaceDE w:val="0"/>
              <w:autoSpaceDN w:val="0"/>
              <w:adjustRightInd w:val="0"/>
              <w:jc w:val="center"/>
            </w:pPr>
            <w:r w:rsidRPr="0085125A">
              <w:t>-0.00995***</w:t>
            </w:r>
          </w:p>
        </w:tc>
      </w:tr>
      <w:tr w:rsidR="00E41968" w:rsidRPr="0085125A" w14:paraId="5BE76D77" w14:textId="77777777" w:rsidTr="00ED0194">
        <w:trPr>
          <w:jc w:val="center"/>
        </w:trPr>
        <w:tc>
          <w:tcPr>
            <w:tcW w:w="5465" w:type="dxa"/>
            <w:tcBorders>
              <w:top w:val="nil"/>
              <w:left w:val="nil"/>
              <w:bottom w:val="nil"/>
              <w:right w:val="nil"/>
            </w:tcBorders>
          </w:tcPr>
          <w:p w14:paraId="2FE628F1"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2BBD61DF" w14:textId="77777777" w:rsidR="00E41968" w:rsidRPr="0085125A" w:rsidRDefault="00E41968" w:rsidP="001C2292">
            <w:pPr>
              <w:widowControl w:val="0"/>
              <w:autoSpaceDE w:val="0"/>
              <w:autoSpaceDN w:val="0"/>
              <w:adjustRightInd w:val="0"/>
              <w:jc w:val="center"/>
            </w:pPr>
            <w:r w:rsidRPr="0085125A">
              <w:t>(0.00316)</w:t>
            </w:r>
          </w:p>
        </w:tc>
      </w:tr>
      <w:tr w:rsidR="00E41968" w:rsidRPr="0085125A" w14:paraId="59D9FC27" w14:textId="77777777" w:rsidTr="00ED0194">
        <w:trPr>
          <w:jc w:val="center"/>
        </w:trPr>
        <w:tc>
          <w:tcPr>
            <w:tcW w:w="5465" w:type="dxa"/>
            <w:tcBorders>
              <w:top w:val="nil"/>
              <w:left w:val="nil"/>
              <w:bottom w:val="nil"/>
              <w:right w:val="nil"/>
            </w:tcBorders>
          </w:tcPr>
          <w:p w14:paraId="585F68AA" w14:textId="77777777" w:rsidR="00E41968" w:rsidRPr="0085125A" w:rsidRDefault="00E41968" w:rsidP="001C2292">
            <w:pPr>
              <w:widowControl w:val="0"/>
              <w:autoSpaceDE w:val="0"/>
              <w:autoSpaceDN w:val="0"/>
              <w:adjustRightInd w:val="0"/>
            </w:pPr>
            <w:r w:rsidRPr="0085125A">
              <w:t>Constant</w:t>
            </w:r>
          </w:p>
        </w:tc>
        <w:tc>
          <w:tcPr>
            <w:tcW w:w="3290" w:type="dxa"/>
            <w:tcBorders>
              <w:top w:val="nil"/>
              <w:left w:val="nil"/>
              <w:bottom w:val="nil"/>
              <w:right w:val="nil"/>
            </w:tcBorders>
          </w:tcPr>
          <w:p w14:paraId="5F3F13F4" w14:textId="77777777" w:rsidR="00E41968" w:rsidRPr="0085125A" w:rsidRDefault="00E41968" w:rsidP="001C2292">
            <w:pPr>
              <w:widowControl w:val="0"/>
              <w:autoSpaceDE w:val="0"/>
              <w:autoSpaceDN w:val="0"/>
              <w:adjustRightInd w:val="0"/>
              <w:jc w:val="center"/>
            </w:pPr>
            <w:r w:rsidRPr="0085125A">
              <w:t>6.750***</w:t>
            </w:r>
          </w:p>
        </w:tc>
      </w:tr>
      <w:tr w:rsidR="00E41968" w:rsidRPr="0085125A" w14:paraId="77A17A6E" w14:textId="77777777" w:rsidTr="00ED0194">
        <w:trPr>
          <w:jc w:val="center"/>
        </w:trPr>
        <w:tc>
          <w:tcPr>
            <w:tcW w:w="5465" w:type="dxa"/>
            <w:tcBorders>
              <w:top w:val="nil"/>
              <w:left w:val="nil"/>
              <w:bottom w:val="nil"/>
              <w:right w:val="nil"/>
            </w:tcBorders>
          </w:tcPr>
          <w:p w14:paraId="1AAB58E9"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3A7E95F9" w14:textId="77777777" w:rsidR="00E41968" w:rsidRPr="0085125A" w:rsidRDefault="00E41968" w:rsidP="001C2292">
            <w:pPr>
              <w:widowControl w:val="0"/>
              <w:autoSpaceDE w:val="0"/>
              <w:autoSpaceDN w:val="0"/>
              <w:adjustRightInd w:val="0"/>
              <w:jc w:val="center"/>
            </w:pPr>
            <w:r w:rsidRPr="0085125A">
              <w:t>(0.744)</w:t>
            </w:r>
          </w:p>
        </w:tc>
      </w:tr>
      <w:tr w:rsidR="00E41968" w:rsidRPr="0085125A" w14:paraId="54A734E5" w14:textId="77777777" w:rsidTr="00ED0194">
        <w:trPr>
          <w:jc w:val="center"/>
        </w:trPr>
        <w:tc>
          <w:tcPr>
            <w:tcW w:w="5465" w:type="dxa"/>
            <w:tcBorders>
              <w:top w:val="nil"/>
              <w:left w:val="nil"/>
              <w:bottom w:val="nil"/>
              <w:right w:val="nil"/>
            </w:tcBorders>
          </w:tcPr>
          <w:p w14:paraId="08E2C1CE" w14:textId="77777777" w:rsidR="00E41968" w:rsidRPr="0085125A" w:rsidRDefault="00E41968" w:rsidP="001C2292">
            <w:pPr>
              <w:widowControl w:val="0"/>
              <w:autoSpaceDE w:val="0"/>
              <w:autoSpaceDN w:val="0"/>
              <w:adjustRightInd w:val="0"/>
            </w:pPr>
          </w:p>
        </w:tc>
        <w:tc>
          <w:tcPr>
            <w:tcW w:w="3290" w:type="dxa"/>
            <w:tcBorders>
              <w:top w:val="nil"/>
              <w:left w:val="nil"/>
              <w:bottom w:val="nil"/>
              <w:right w:val="nil"/>
            </w:tcBorders>
          </w:tcPr>
          <w:p w14:paraId="7E31A86A" w14:textId="77777777" w:rsidR="00E41968" w:rsidRPr="0085125A" w:rsidRDefault="00E41968" w:rsidP="001C2292">
            <w:pPr>
              <w:widowControl w:val="0"/>
              <w:autoSpaceDE w:val="0"/>
              <w:autoSpaceDN w:val="0"/>
              <w:adjustRightInd w:val="0"/>
              <w:jc w:val="center"/>
            </w:pPr>
          </w:p>
        </w:tc>
      </w:tr>
      <w:tr w:rsidR="00E41968" w:rsidRPr="0085125A" w14:paraId="037AC797" w14:textId="77777777" w:rsidTr="00ED0194">
        <w:trPr>
          <w:jc w:val="center"/>
        </w:trPr>
        <w:tc>
          <w:tcPr>
            <w:tcW w:w="5465" w:type="dxa"/>
            <w:tcBorders>
              <w:top w:val="nil"/>
              <w:left w:val="nil"/>
              <w:bottom w:val="nil"/>
              <w:right w:val="nil"/>
            </w:tcBorders>
          </w:tcPr>
          <w:p w14:paraId="2DA51540" w14:textId="77777777" w:rsidR="00E41968" w:rsidRPr="0085125A" w:rsidRDefault="00E41968" w:rsidP="001C2292">
            <w:pPr>
              <w:widowControl w:val="0"/>
              <w:autoSpaceDE w:val="0"/>
              <w:autoSpaceDN w:val="0"/>
              <w:adjustRightInd w:val="0"/>
            </w:pPr>
            <w:r w:rsidRPr="0085125A">
              <w:t>Observations</w:t>
            </w:r>
          </w:p>
        </w:tc>
        <w:tc>
          <w:tcPr>
            <w:tcW w:w="3290" w:type="dxa"/>
            <w:tcBorders>
              <w:top w:val="nil"/>
              <w:left w:val="nil"/>
              <w:bottom w:val="nil"/>
              <w:right w:val="nil"/>
            </w:tcBorders>
          </w:tcPr>
          <w:p w14:paraId="312D0CD8" w14:textId="77777777" w:rsidR="00E41968" w:rsidRPr="0085125A" w:rsidRDefault="00E41968" w:rsidP="001C2292">
            <w:pPr>
              <w:widowControl w:val="0"/>
              <w:autoSpaceDE w:val="0"/>
              <w:autoSpaceDN w:val="0"/>
              <w:adjustRightInd w:val="0"/>
              <w:jc w:val="center"/>
            </w:pPr>
            <w:r w:rsidRPr="0085125A">
              <w:t>31</w:t>
            </w:r>
          </w:p>
        </w:tc>
      </w:tr>
      <w:tr w:rsidR="00E41968" w:rsidRPr="0085125A" w14:paraId="4C49C1C4" w14:textId="77777777" w:rsidTr="00ED0194">
        <w:tblPrEx>
          <w:tblBorders>
            <w:bottom w:val="single" w:sz="6" w:space="0" w:color="auto"/>
          </w:tblBorders>
        </w:tblPrEx>
        <w:trPr>
          <w:jc w:val="center"/>
        </w:trPr>
        <w:tc>
          <w:tcPr>
            <w:tcW w:w="5465" w:type="dxa"/>
            <w:tcBorders>
              <w:top w:val="nil"/>
              <w:left w:val="nil"/>
              <w:bottom w:val="single" w:sz="6" w:space="0" w:color="auto"/>
              <w:right w:val="nil"/>
            </w:tcBorders>
          </w:tcPr>
          <w:p w14:paraId="536780B6" w14:textId="52B0BD12" w:rsidR="00E41968" w:rsidRPr="0085125A" w:rsidRDefault="00146FB2" w:rsidP="001C2292">
            <w:pPr>
              <w:widowControl w:val="0"/>
              <w:autoSpaceDE w:val="0"/>
              <w:autoSpaceDN w:val="0"/>
              <w:adjustRightInd w:val="0"/>
            </w:pPr>
            <w:r>
              <w:t xml:space="preserve"> </w:t>
            </w:r>
          </w:p>
        </w:tc>
        <w:tc>
          <w:tcPr>
            <w:tcW w:w="3290" w:type="dxa"/>
            <w:tcBorders>
              <w:top w:val="nil"/>
              <w:left w:val="nil"/>
              <w:bottom w:val="single" w:sz="6" w:space="0" w:color="auto"/>
              <w:right w:val="nil"/>
            </w:tcBorders>
          </w:tcPr>
          <w:p w14:paraId="44C19A1D" w14:textId="77777777" w:rsidR="00E41968" w:rsidRPr="0085125A" w:rsidRDefault="00E41968" w:rsidP="001C2292">
            <w:pPr>
              <w:widowControl w:val="0"/>
              <w:autoSpaceDE w:val="0"/>
              <w:autoSpaceDN w:val="0"/>
              <w:adjustRightInd w:val="0"/>
              <w:jc w:val="center"/>
            </w:pPr>
          </w:p>
        </w:tc>
      </w:tr>
    </w:tbl>
    <w:p w14:paraId="33207E5A" w14:textId="7D086561" w:rsidR="00906C1D" w:rsidRDefault="00906C1D" w:rsidP="00906C1D">
      <w:pPr>
        <w:tabs>
          <w:tab w:val="left" w:pos="2895"/>
        </w:tabs>
        <w:spacing w:after="200"/>
        <w:jc w:val="center"/>
      </w:pPr>
      <w:r>
        <w:t>Standard errors in parentheses</w:t>
      </w:r>
    </w:p>
    <w:p w14:paraId="009C17D1" w14:textId="4626380B" w:rsidR="00906C1D" w:rsidRDefault="00906C1D" w:rsidP="00906C1D">
      <w:pPr>
        <w:tabs>
          <w:tab w:val="left" w:pos="2895"/>
        </w:tabs>
        <w:spacing w:after="200"/>
        <w:jc w:val="center"/>
      </w:pPr>
      <w:r>
        <w:t>*** p&lt;0.01, ** p&lt;0.05, * p&lt;0.1</w:t>
      </w:r>
    </w:p>
    <w:p w14:paraId="7C65D19F" w14:textId="7F4A6D96" w:rsidR="001C2292" w:rsidRPr="0085125A" w:rsidRDefault="00906C1D" w:rsidP="00906C1D">
      <w:pPr>
        <w:tabs>
          <w:tab w:val="left" w:pos="2895"/>
        </w:tabs>
        <w:spacing w:after="200" w:line="360" w:lineRule="auto"/>
        <w:jc w:val="both"/>
      </w:pPr>
      <w:r>
        <w:tab/>
      </w:r>
    </w:p>
    <w:p w14:paraId="356E12E1" w14:textId="29D8C11B" w:rsidR="002A4FBC" w:rsidRPr="0085125A" w:rsidRDefault="00146FB2" w:rsidP="002A4FBC">
      <w:pPr>
        <w:tabs>
          <w:tab w:val="left" w:pos="2895"/>
        </w:tabs>
        <w:spacing w:after="200" w:line="360" w:lineRule="auto"/>
        <w:jc w:val="both"/>
      </w:pPr>
      <w:r>
        <w:t xml:space="preserve">The OLS results from table 5 </w:t>
      </w:r>
      <w:r w:rsidR="002A4FBC" w:rsidRPr="0085125A">
        <w:t xml:space="preserve">reveal that the GDP per capita statistically and significantly </w:t>
      </w:r>
      <w:r w:rsidR="00ED0194" w:rsidRPr="0085125A">
        <w:t>influences</w:t>
      </w:r>
      <w:r w:rsidR="002A4FBC" w:rsidRPr="0085125A">
        <w:t xml:space="preserve"> total </w:t>
      </w:r>
      <w:r w:rsidR="00EA3003">
        <w:t xml:space="preserve">final </w:t>
      </w:r>
      <w:r w:rsidR="002A4FBC" w:rsidRPr="0085125A">
        <w:t xml:space="preserve">energy consumption. Evidently, implies that 1% rise in GDP per capita </w:t>
      </w:r>
      <w:r w:rsidR="00ED0194" w:rsidRPr="0085125A">
        <w:t xml:space="preserve">rises total energy demand by </w:t>
      </w:r>
      <w:r w:rsidR="003B7EBD">
        <w:t>0.572</w:t>
      </w:r>
      <w:r w:rsidR="002A4FBC" w:rsidRPr="0085125A">
        <w:t xml:space="preserve"> percentage growth. These findings are reinforced by previous study by (Selim et al, 2019) from similar context. The findings are in line with the stylized trends of GDP per capita with total final energy consumption in Rwanda. Implying that, energy consumption is influenced by the pace of economic growth, or vice versa.  </w:t>
      </w:r>
    </w:p>
    <w:p w14:paraId="5AD7016D" w14:textId="36D0942E" w:rsidR="002A4FBC" w:rsidRPr="0085125A" w:rsidRDefault="002A4FBC" w:rsidP="002A4FBC">
      <w:pPr>
        <w:spacing w:after="200" w:line="360" w:lineRule="auto"/>
        <w:jc w:val="both"/>
      </w:pPr>
      <w:r w:rsidRPr="0085125A">
        <w:lastRenderedPageBreak/>
        <w:t>Population growth statistically and significantly influence total energy consumption. Evidently, implies that 1</w:t>
      </w:r>
      <w:r w:rsidR="00620794">
        <w:t xml:space="preserve">% in </w:t>
      </w:r>
      <w:r w:rsidRPr="0085125A">
        <w:t>population growth increases tota</w:t>
      </w:r>
      <w:r w:rsidR="00ED0194" w:rsidRPr="0085125A">
        <w:t xml:space="preserve">l final energy consumption by </w:t>
      </w:r>
      <w:r w:rsidR="00620794">
        <w:t>0.0</w:t>
      </w:r>
      <w:r w:rsidR="00ED0194" w:rsidRPr="0085125A">
        <w:t>4</w:t>
      </w:r>
      <w:r w:rsidR="00620794">
        <w:t>7</w:t>
      </w:r>
      <w:r w:rsidR="00ED0194" w:rsidRPr="0085125A">
        <w:t xml:space="preserve"> </w:t>
      </w:r>
      <w:r w:rsidRPr="0085125A">
        <w:t>percentage increase. These results are reinforced by previous empirical findings by ( Udo et al.2011; Khalid Zaman et al,2012;</w:t>
      </w:r>
      <w:r w:rsidRPr="0085125A">
        <w:rPr>
          <w:rFonts w:eastAsiaTheme="minorEastAsia"/>
        </w:rPr>
        <w:t xml:space="preserve"> </w:t>
      </w:r>
      <w:r w:rsidRPr="0085125A">
        <w:t>Chor Foon Tang,2008) who argue that population growth significantly impact energy use. This confirms the traditional view of the energy-population nexus, which argu</w:t>
      </w:r>
      <w:r w:rsidR="00ED0194" w:rsidRPr="0085125A">
        <w:t xml:space="preserve">es that </w:t>
      </w:r>
      <w:r w:rsidRPr="0085125A">
        <w:t xml:space="preserve">energy consumption is determined by population levels. This implies that the larger the population, the more overall energy is required, and that energy consumption is determined exogenously by the population. With increasing population growth, in line with a shift from traditional source of energy to the modern source of energy, population growth influences the overall energy consumption. </w:t>
      </w:r>
    </w:p>
    <w:p w14:paraId="055E9B93" w14:textId="313FD06A" w:rsidR="002A4FBC" w:rsidRPr="0085125A" w:rsidRDefault="002A4FBC" w:rsidP="002A4FBC">
      <w:pPr>
        <w:spacing w:after="200" w:line="360" w:lineRule="auto"/>
        <w:jc w:val="both"/>
      </w:pPr>
      <w:r w:rsidRPr="0085125A">
        <w:t xml:space="preserve">Urbanization </w:t>
      </w:r>
      <w:r w:rsidR="009B6ECB">
        <w:t xml:space="preserve">do not exhibit a significant effect on energy consumption in Rwanda, despite </w:t>
      </w:r>
      <w:r w:rsidRPr="0085125A">
        <w:t xml:space="preserve">a rapid increase in urbanization mostly in secondary and </w:t>
      </w:r>
      <w:r w:rsidR="006D2A11">
        <w:t>satellite</w:t>
      </w:r>
      <w:r w:rsidR="00F42D1C">
        <w:t xml:space="preserve"> </w:t>
      </w:r>
      <w:r w:rsidRPr="0085125A">
        <w:t>cities respectively</w:t>
      </w:r>
      <w:r w:rsidR="009B6ECB">
        <w:t xml:space="preserve">.  </w:t>
      </w:r>
    </w:p>
    <w:p w14:paraId="795C519D" w14:textId="1AC4849E" w:rsidR="004651BE" w:rsidRDefault="00266583" w:rsidP="002A4FBC">
      <w:pPr>
        <w:spacing w:after="200" w:line="360" w:lineRule="auto"/>
        <w:jc w:val="both"/>
      </w:pPr>
      <w:r w:rsidRPr="00EA3003">
        <w:t xml:space="preserve">Industrialization statistically and significantly increase total energy </w:t>
      </w:r>
      <w:r w:rsidR="000F7184" w:rsidRPr="00EA3003">
        <w:t>consumption. This implies</w:t>
      </w:r>
      <w:r w:rsidRPr="00EA3003">
        <w:t xml:space="preserve"> that 1% rise on industrialization, increase energy consumption by </w:t>
      </w:r>
      <w:r w:rsidR="006741C4">
        <w:t>0.</w:t>
      </w:r>
      <w:r w:rsidRPr="00EA3003">
        <w:t>3</w:t>
      </w:r>
      <w:r w:rsidR="009B6ECB">
        <w:t>62</w:t>
      </w:r>
      <w:r w:rsidR="006741C4">
        <w:t xml:space="preserve"> percentage</w:t>
      </w:r>
      <w:r w:rsidRPr="00EA3003">
        <w:t>.</w:t>
      </w:r>
      <w:r w:rsidR="009B6ECB">
        <w:t xml:space="preserve"> With less energy efficient technologies and less energy efficient policies, industrialization </w:t>
      </w:r>
      <w:r w:rsidR="00896E71">
        <w:t xml:space="preserve">positively effect </w:t>
      </w:r>
      <w:r w:rsidR="009B6ECB">
        <w:t>energy use mostly at early take-of stage</w:t>
      </w:r>
      <w:r w:rsidR="00896E71">
        <w:t xml:space="preserve"> in developing countries like Rwanda</w:t>
      </w:r>
      <w:r w:rsidR="009B6ECB">
        <w:t xml:space="preserve">. </w:t>
      </w:r>
      <w:r w:rsidRPr="00EA3003">
        <w:t>More energy is required when industrial activity grows to boost the gross domestic product</w:t>
      </w:r>
      <w:r w:rsidR="009B6ECB">
        <w:t>.</w:t>
      </w:r>
      <w:r w:rsidR="000F7184" w:rsidRPr="00EA3003">
        <w:t xml:space="preserve"> This results is reinforced by the study of</w:t>
      </w:r>
      <w:r w:rsidR="000F7184" w:rsidRPr="00EA3003">
        <w:rPr>
          <w:rFonts w:eastAsiaTheme="majorEastAsia"/>
        </w:rPr>
        <w:t xml:space="preserve"> </w:t>
      </w:r>
      <w:r w:rsidR="000F7184" w:rsidRPr="00EA3003">
        <w:t>Samouilidis &amp; Mitropoulos</w:t>
      </w:r>
      <w:r w:rsidR="00852B59" w:rsidRPr="00EA3003">
        <w:t>, 1984</w:t>
      </w:r>
      <w:r w:rsidR="000F7184" w:rsidRPr="00EA3003">
        <w:rPr>
          <w:shd w:val="clear" w:color="auto" w:fill="FFFFFF"/>
        </w:rPr>
        <w:t xml:space="preserve"> ;</w:t>
      </w:r>
      <w:r w:rsidR="009B6237" w:rsidRPr="00EA3003">
        <w:rPr>
          <w:shd w:val="clear" w:color="auto" w:fill="FFFFFF"/>
        </w:rPr>
        <w:t xml:space="preserve"> Sahoo</w:t>
      </w:r>
      <w:r w:rsidR="00EA3003">
        <w:rPr>
          <w:shd w:val="clear" w:color="auto" w:fill="FFFFFF"/>
        </w:rPr>
        <w:t xml:space="preserve"> </w:t>
      </w:r>
      <w:r w:rsidR="009B6237" w:rsidRPr="00EA3003">
        <w:rPr>
          <w:shd w:val="clear" w:color="auto" w:fill="FFFFFF"/>
        </w:rPr>
        <w:t>&amp; sethi,2020; Sadorsky,2014</w:t>
      </w:r>
      <w:r w:rsidR="000F7184" w:rsidRPr="00EA3003">
        <w:t>)</w:t>
      </w:r>
      <w:r w:rsidR="00896E71">
        <w:t xml:space="preserve"> which affirm</w:t>
      </w:r>
      <w:r w:rsidR="000F7184" w:rsidRPr="00EA3003">
        <w:t xml:space="preserve">  a positive link between industrialization and energy usage</w:t>
      </w:r>
      <w:r w:rsidR="00EA3003" w:rsidRPr="00EA3003">
        <w:t xml:space="preserve">. </w:t>
      </w:r>
    </w:p>
    <w:p w14:paraId="7DC39917" w14:textId="115CF57E" w:rsidR="000F7184" w:rsidRPr="0085125A" w:rsidRDefault="00896E71" w:rsidP="002A4FBC">
      <w:pPr>
        <w:spacing w:after="200" w:line="360" w:lineRule="auto"/>
        <w:jc w:val="both"/>
      </w:pPr>
      <w:r>
        <w:t xml:space="preserve">The </w:t>
      </w:r>
      <w:r w:rsidR="004068B3">
        <w:t>results indicate an in</w:t>
      </w:r>
      <w:r>
        <w:t xml:space="preserve">significant effect of </w:t>
      </w:r>
      <w:r w:rsidR="009B6237" w:rsidRPr="0085125A">
        <w:t xml:space="preserve">Trade openness </w:t>
      </w:r>
      <w:r>
        <w:t>on</w:t>
      </w:r>
      <w:r w:rsidR="009B6237" w:rsidRPr="0085125A">
        <w:t xml:space="preserve"> total energy consumption</w:t>
      </w:r>
      <w:r>
        <w:t xml:space="preserve"> </w:t>
      </w:r>
      <w:r w:rsidR="004068B3">
        <w:t>contrary</w:t>
      </w:r>
      <w:r>
        <w:t xml:space="preserve"> to </w:t>
      </w:r>
      <w:r w:rsidR="004651BE">
        <w:t xml:space="preserve">the </w:t>
      </w:r>
      <w:r>
        <w:t xml:space="preserve">previous empirical findings </w:t>
      </w:r>
      <w:r w:rsidR="004651BE">
        <w:t>(</w:t>
      </w:r>
      <w:r w:rsidRPr="00EA3003">
        <w:rPr>
          <w:shd w:val="clear" w:color="auto" w:fill="FFFFFF"/>
        </w:rPr>
        <w:t>Rafindadi&amp; Ozturk, 2017; Rafindadi, 2015; Alkhateeb&amp; Mahmood</w:t>
      </w:r>
      <w:r w:rsidR="00BE43FB" w:rsidRPr="00EA3003">
        <w:rPr>
          <w:shd w:val="clear" w:color="auto" w:fill="FFFFFF"/>
        </w:rPr>
        <w:t>, 2019</w:t>
      </w:r>
      <w:r w:rsidRPr="00EA3003">
        <w:rPr>
          <w:shd w:val="clear" w:color="auto" w:fill="FFFFFF"/>
        </w:rPr>
        <w:t>)</w:t>
      </w:r>
      <w:r w:rsidR="009B6237" w:rsidRPr="0085125A">
        <w:t xml:space="preserve">. </w:t>
      </w:r>
      <w:r w:rsidR="004651BE">
        <w:t>However, we find interactively Trade Openness affecting energy consumption through industrialization. Evidently, t</w:t>
      </w:r>
      <w:r w:rsidR="00BE43FB">
        <w:t xml:space="preserve">he findings indicate no statistically insignificant coefficient of Trade Openness on energy consumption, but the </w:t>
      </w:r>
      <w:r w:rsidR="00BE43FB" w:rsidRPr="00BE43FB">
        <w:t xml:space="preserve">coefficient of </w:t>
      </w:r>
      <w:r w:rsidR="00BE43FB">
        <w:t xml:space="preserve">interaction term of Trade Openness </w:t>
      </w:r>
      <w:r w:rsidR="00BE43FB" w:rsidRPr="00BE43FB">
        <w:t xml:space="preserve">and </w:t>
      </w:r>
      <w:r w:rsidR="00BE43FB">
        <w:t xml:space="preserve">Industrialization </w:t>
      </w:r>
      <w:r w:rsidR="00BE43FB" w:rsidRPr="00BE43FB">
        <w:t>is positive and statistically si</w:t>
      </w:r>
      <w:r w:rsidR="00BE43FB">
        <w:t>gnificant (0.02</w:t>
      </w:r>
      <w:r w:rsidR="00BE43FB" w:rsidRPr="00BE43FB">
        <w:t>62***).</w:t>
      </w:r>
      <w:r w:rsidR="00BE43FB">
        <w:t xml:space="preserve"> This provides strong empirical evidence that the conditional marginal effect of Trade Openness on energy consumption </w:t>
      </w:r>
      <w:r w:rsidR="00D069E9">
        <w:t xml:space="preserve">moderates </w:t>
      </w:r>
      <w:r w:rsidR="00BE43FB">
        <w:t xml:space="preserve">through the prevailing industrialization in Rwanda. </w:t>
      </w:r>
    </w:p>
    <w:p w14:paraId="55DF0EB9" w14:textId="1CDE0A32" w:rsidR="002A4FBC" w:rsidRPr="0085125A" w:rsidRDefault="00E15767" w:rsidP="002A4FBC">
      <w:pPr>
        <w:spacing w:after="200" w:line="360" w:lineRule="auto"/>
        <w:jc w:val="both"/>
      </w:pPr>
      <w:r>
        <w:t xml:space="preserve">The findings indicate no significant effect of </w:t>
      </w:r>
      <w:r w:rsidR="002A4FBC" w:rsidRPr="0085125A">
        <w:t xml:space="preserve">on total final energy </w:t>
      </w:r>
      <w:r>
        <w:t>consumption</w:t>
      </w:r>
      <w:r w:rsidR="002A4FBC" w:rsidRPr="0085125A">
        <w:t xml:space="preserve">. Implying that, foreign direct investments are not influencing energy consumption at macroeconomic level. These </w:t>
      </w:r>
      <w:r w:rsidR="002A4FBC" w:rsidRPr="0085125A">
        <w:lastRenderedPageBreak/>
        <w:t xml:space="preserve">results are reinforced by previous empirical findings of (Mielnik </w:t>
      </w:r>
      <w:r w:rsidR="00F06A23" w:rsidRPr="0085125A">
        <w:t>&amp; Goldemberg, 2002; Polat</w:t>
      </w:r>
      <w:r w:rsidR="002A4FBC" w:rsidRPr="0085125A">
        <w:t xml:space="preserve">,2018; Lee ,2013). This seems to be attributed to the quantity and quality </w:t>
      </w:r>
      <w:r w:rsidR="00FA29DA">
        <w:t xml:space="preserve">of FDI in terms </w:t>
      </w:r>
      <w:r w:rsidR="002A4FBC" w:rsidRPr="0085125A">
        <w:t>of energy efficiency</w:t>
      </w:r>
      <w:r w:rsidR="004068B3">
        <w:t xml:space="preserve"> for FDIs operating </w:t>
      </w:r>
      <w:r w:rsidR="002A4FBC" w:rsidRPr="0085125A">
        <w:t>in Rwanda at macro level.</w:t>
      </w:r>
      <w:r w:rsidR="00221E1C">
        <w:t xml:space="preserve"> </w:t>
      </w:r>
      <w:r w:rsidR="002A4FBC" w:rsidRPr="0085125A">
        <w:t xml:space="preserve"> </w:t>
      </w:r>
    </w:p>
    <w:p w14:paraId="6944C2BF" w14:textId="59A88F31" w:rsidR="002A4FBC" w:rsidRPr="0085125A" w:rsidRDefault="002A4FBC" w:rsidP="002A4FBC">
      <w:pPr>
        <w:spacing w:after="200" w:line="360" w:lineRule="auto"/>
        <w:jc w:val="both"/>
      </w:pPr>
      <w:r w:rsidRPr="0085125A">
        <w:t xml:space="preserve">In sum, the results of OLS strongly point to the positive and statistically significant effect of GDP per capita, population growth, and industrialization respectively on the total final energy consumption, </w:t>
      </w:r>
      <w:r w:rsidR="00221E1C">
        <w:t xml:space="preserve">while FDIs, urbanization, and Trade Openness do not statistically and significantly </w:t>
      </w:r>
      <w:r w:rsidR="00E43DAE" w:rsidRPr="0085125A">
        <w:t>effect</w:t>
      </w:r>
      <w:r w:rsidRPr="0085125A">
        <w:t xml:space="preserve"> </w:t>
      </w:r>
      <w:r w:rsidR="00E43DAE" w:rsidRPr="0085125A">
        <w:t xml:space="preserve">on </w:t>
      </w:r>
      <w:r w:rsidRPr="0085125A">
        <w:t>energy consumption in Rwanda.</w:t>
      </w:r>
      <w:r w:rsidRPr="0085125A">
        <w:rPr>
          <w:b/>
        </w:rPr>
        <w:t xml:space="preserve"> </w:t>
      </w:r>
      <w:r w:rsidR="00221E1C" w:rsidRPr="00221E1C">
        <w:t>Nevertheless, Trade Openness aff</w:t>
      </w:r>
      <w:r w:rsidR="00221E1C">
        <w:t>ect energy consumption through the i</w:t>
      </w:r>
      <w:r w:rsidR="00221E1C" w:rsidRPr="00221E1C">
        <w:t>ncreasing levels of industrialization.</w:t>
      </w:r>
      <w:r w:rsidR="00221E1C">
        <w:rPr>
          <w:b/>
        </w:rPr>
        <w:t xml:space="preserve"> </w:t>
      </w:r>
      <w:r w:rsidRPr="0085125A">
        <w:t>However, the results of OLS estimation technique</w:t>
      </w:r>
      <w:r w:rsidR="00C4607E">
        <w:t xml:space="preserve"> is</w:t>
      </w:r>
      <w:r w:rsidRPr="0085125A">
        <w:t xml:space="preserve"> criticized in the empirical analysis for being biased and inconsistent estimates due to the omitted variables (one special form of endogeneity), measurement errors, and</w:t>
      </w:r>
      <w:r w:rsidR="00C4607E">
        <w:t xml:space="preserve"> heteroscedasticity, which lead</w:t>
      </w:r>
      <w:r w:rsidRPr="0085125A">
        <w:t xml:space="preserve"> to biased and inconsistent OLS causal estimates. We address this problem by employing causal estimation techniques to examine the causal relationship between Total final energy consumption (dependent variable</w:t>
      </w:r>
      <w:r w:rsidR="00C4607E">
        <w:t>)</w:t>
      </w:r>
      <w:r w:rsidRPr="0085125A">
        <w:t xml:space="preserve"> and the control variables. We examine both short and long-run relationship, as well as the direction of causality.   </w:t>
      </w:r>
    </w:p>
    <w:p w14:paraId="0DEFF6AD" w14:textId="77777777" w:rsidR="002A4FBC" w:rsidRPr="0085125A" w:rsidRDefault="002A4FBC" w:rsidP="002A4FBC">
      <w:pPr>
        <w:spacing w:after="200" w:line="360" w:lineRule="auto"/>
        <w:jc w:val="both"/>
      </w:pPr>
      <w:r w:rsidRPr="0085125A">
        <w:t>4.2.</w:t>
      </w:r>
      <w:r w:rsidRPr="0085125A">
        <w:rPr>
          <w:b/>
        </w:rPr>
        <w:t xml:space="preserve"> Unit root test</w:t>
      </w:r>
    </w:p>
    <w:p w14:paraId="49D703CB" w14:textId="1AA90B73" w:rsidR="002A4FBC" w:rsidRPr="0085125A" w:rsidRDefault="002A4FBC" w:rsidP="002A4FBC">
      <w:pPr>
        <w:spacing w:after="200" w:line="360" w:lineRule="auto"/>
        <w:jc w:val="both"/>
      </w:pPr>
      <w:r w:rsidRPr="0085125A">
        <w:t xml:space="preserve">The empirical results of Augmented Dickey-Fuller (ADF) unit root tests were employed to estimate the stationarity of the variables of interest, as recommended by </w:t>
      </w:r>
      <w:bookmarkStart w:id="16" w:name="_Toc87452325"/>
      <w:r w:rsidRPr="0085125A">
        <w:t xml:space="preserve"> Dickey and Fuller (1979) test. Table 6 </w:t>
      </w:r>
      <w:r w:rsidR="0044546F">
        <w:t xml:space="preserve">presents </w:t>
      </w:r>
      <w:r w:rsidRPr="0085125A">
        <w:t xml:space="preserve">the findings of the unit root with maximum lags specified. </w:t>
      </w:r>
    </w:p>
    <w:p w14:paraId="58B95E62" w14:textId="77777777" w:rsidR="002A4FBC" w:rsidRPr="0085125A" w:rsidRDefault="002A4FBC" w:rsidP="002A4FBC">
      <w:pPr>
        <w:spacing w:after="200" w:line="360" w:lineRule="auto"/>
        <w:jc w:val="both"/>
      </w:pPr>
      <w:r w:rsidRPr="0085125A">
        <w:t>Table 6: The Summary Results of Augmented Dickey-Fuller (ADF) Unit Root Tests</w:t>
      </w:r>
      <w:bookmarkEnd w:id="16"/>
    </w:p>
    <w:tbl>
      <w:tblPr>
        <w:tblW w:w="9326" w:type="dxa"/>
        <w:tblLook w:val="04A0" w:firstRow="1" w:lastRow="0" w:firstColumn="1" w:lastColumn="0" w:noHBand="0" w:noVBand="1"/>
      </w:tblPr>
      <w:tblGrid>
        <w:gridCol w:w="2876"/>
        <w:gridCol w:w="2646"/>
        <w:gridCol w:w="876"/>
        <w:gridCol w:w="1612"/>
        <w:gridCol w:w="180"/>
        <w:gridCol w:w="1136"/>
      </w:tblGrid>
      <w:tr w:rsidR="002A4FBC" w:rsidRPr="0085125A" w14:paraId="1D06F69A" w14:textId="77777777" w:rsidTr="0044546F">
        <w:trPr>
          <w:trHeight w:val="297"/>
        </w:trPr>
        <w:tc>
          <w:tcPr>
            <w:tcW w:w="2876" w:type="dxa"/>
            <w:tcBorders>
              <w:top w:val="single" w:sz="4" w:space="0" w:color="auto"/>
              <w:left w:val="nil"/>
              <w:bottom w:val="single" w:sz="4" w:space="0" w:color="auto"/>
              <w:right w:val="nil"/>
            </w:tcBorders>
            <w:shd w:val="clear" w:color="auto" w:fill="auto"/>
            <w:vAlign w:val="center"/>
            <w:hideMark/>
          </w:tcPr>
          <w:p w14:paraId="5A66B50F" w14:textId="77777777" w:rsidR="002A4FBC" w:rsidRPr="0085125A" w:rsidRDefault="002A4FBC" w:rsidP="002A4FBC">
            <w:pPr>
              <w:jc w:val="both"/>
            </w:pPr>
            <w:r w:rsidRPr="0085125A">
              <w:t>Variables</w:t>
            </w:r>
          </w:p>
        </w:tc>
        <w:tc>
          <w:tcPr>
            <w:tcW w:w="2646" w:type="dxa"/>
            <w:tcBorders>
              <w:top w:val="single" w:sz="4" w:space="0" w:color="auto"/>
              <w:left w:val="nil"/>
              <w:bottom w:val="single" w:sz="4" w:space="0" w:color="auto"/>
              <w:right w:val="nil"/>
            </w:tcBorders>
            <w:shd w:val="clear" w:color="auto" w:fill="auto"/>
            <w:noWrap/>
            <w:vAlign w:val="bottom"/>
            <w:hideMark/>
          </w:tcPr>
          <w:p w14:paraId="313CEA06" w14:textId="77777777" w:rsidR="002A4FBC" w:rsidRPr="0085125A" w:rsidRDefault="002A4FBC" w:rsidP="002A4FBC">
            <w:pPr>
              <w:jc w:val="both"/>
            </w:pPr>
            <w:r w:rsidRPr="0085125A">
              <w:t>Order of integration</w:t>
            </w:r>
          </w:p>
        </w:tc>
        <w:tc>
          <w:tcPr>
            <w:tcW w:w="876" w:type="dxa"/>
            <w:tcBorders>
              <w:top w:val="single" w:sz="4" w:space="0" w:color="auto"/>
              <w:left w:val="nil"/>
              <w:bottom w:val="single" w:sz="4" w:space="0" w:color="auto"/>
              <w:right w:val="nil"/>
            </w:tcBorders>
            <w:shd w:val="clear" w:color="auto" w:fill="auto"/>
            <w:noWrap/>
            <w:vAlign w:val="bottom"/>
            <w:hideMark/>
          </w:tcPr>
          <w:p w14:paraId="08EABF66" w14:textId="77777777" w:rsidR="002A4FBC" w:rsidRPr="0085125A" w:rsidRDefault="002A4FBC" w:rsidP="002A4FBC">
            <w:pPr>
              <w:jc w:val="both"/>
            </w:pPr>
            <w:r w:rsidRPr="0085125A">
              <w:t>P-value</w:t>
            </w:r>
          </w:p>
        </w:tc>
        <w:tc>
          <w:tcPr>
            <w:tcW w:w="1612" w:type="dxa"/>
            <w:tcBorders>
              <w:top w:val="single" w:sz="4" w:space="0" w:color="auto"/>
              <w:left w:val="nil"/>
              <w:bottom w:val="single" w:sz="4" w:space="0" w:color="auto"/>
              <w:right w:val="nil"/>
            </w:tcBorders>
            <w:shd w:val="clear" w:color="auto" w:fill="auto"/>
            <w:noWrap/>
            <w:vAlign w:val="bottom"/>
            <w:hideMark/>
          </w:tcPr>
          <w:p w14:paraId="30BD7004" w14:textId="77777777" w:rsidR="002A4FBC" w:rsidRPr="0085125A" w:rsidRDefault="002A4FBC" w:rsidP="002A4FBC">
            <w:pPr>
              <w:jc w:val="both"/>
            </w:pPr>
            <w:r w:rsidRPr="0085125A">
              <w:t>Test-statistic</w:t>
            </w:r>
          </w:p>
        </w:tc>
        <w:tc>
          <w:tcPr>
            <w:tcW w:w="1316" w:type="dxa"/>
            <w:gridSpan w:val="2"/>
            <w:tcBorders>
              <w:top w:val="single" w:sz="4" w:space="0" w:color="auto"/>
              <w:left w:val="nil"/>
              <w:bottom w:val="single" w:sz="4" w:space="0" w:color="auto"/>
              <w:right w:val="nil"/>
            </w:tcBorders>
            <w:shd w:val="clear" w:color="auto" w:fill="auto"/>
            <w:noWrap/>
            <w:vAlign w:val="bottom"/>
            <w:hideMark/>
          </w:tcPr>
          <w:p w14:paraId="6E7F19A0" w14:textId="77777777" w:rsidR="002A4FBC" w:rsidRPr="0085125A" w:rsidRDefault="002A4FBC" w:rsidP="002A4FBC">
            <w:pPr>
              <w:jc w:val="both"/>
            </w:pPr>
            <w:r w:rsidRPr="0085125A">
              <w:t>5% Critical value</w:t>
            </w:r>
          </w:p>
        </w:tc>
      </w:tr>
      <w:tr w:rsidR="002A4FBC" w:rsidRPr="0085125A" w14:paraId="44425762" w14:textId="77777777" w:rsidTr="0044546F">
        <w:trPr>
          <w:trHeight w:val="297"/>
        </w:trPr>
        <w:tc>
          <w:tcPr>
            <w:tcW w:w="2876" w:type="dxa"/>
            <w:tcBorders>
              <w:top w:val="nil"/>
              <w:left w:val="nil"/>
              <w:bottom w:val="nil"/>
              <w:right w:val="nil"/>
            </w:tcBorders>
            <w:shd w:val="clear" w:color="auto" w:fill="auto"/>
            <w:vAlign w:val="center"/>
            <w:hideMark/>
          </w:tcPr>
          <w:p w14:paraId="2F2F45F1" w14:textId="77777777" w:rsidR="002A4FBC" w:rsidRPr="0085125A" w:rsidRDefault="002A4FBC" w:rsidP="002A4FBC">
            <w:pPr>
              <w:jc w:val="both"/>
            </w:pPr>
            <w:r w:rsidRPr="0085125A">
              <w:t>TFEC</w:t>
            </w:r>
          </w:p>
        </w:tc>
        <w:tc>
          <w:tcPr>
            <w:tcW w:w="2646" w:type="dxa"/>
            <w:tcBorders>
              <w:top w:val="nil"/>
              <w:left w:val="nil"/>
              <w:bottom w:val="nil"/>
              <w:right w:val="nil"/>
            </w:tcBorders>
            <w:shd w:val="clear" w:color="auto" w:fill="auto"/>
            <w:noWrap/>
            <w:vAlign w:val="bottom"/>
            <w:hideMark/>
          </w:tcPr>
          <w:p w14:paraId="439AF9C7" w14:textId="77777777" w:rsidR="002A4FBC" w:rsidRPr="0085125A" w:rsidRDefault="002A4FBC" w:rsidP="002A4FBC">
            <w:pPr>
              <w:jc w:val="both"/>
            </w:pPr>
            <w:r w:rsidRPr="0085125A">
              <w:t>I(1)</w:t>
            </w:r>
          </w:p>
        </w:tc>
        <w:tc>
          <w:tcPr>
            <w:tcW w:w="876" w:type="dxa"/>
            <w:tcBorders>
              <w:top w:val="nil"/>
              <w:left w:val="nil"/>
              <w:bottom w:val="nil"/>
              <w:right w:val="nil"/>
            </w:tcBorders>
            <w:shd w:val="clear" w:color="auto" w:fill="auto"/>
            <w:noWrap/>
            <w:vAlign w:val="bottom"/>
            <w:hideMark/>
          </w:tcPr>
          <w:p w14:paraId="2B6D2F38" w14:textId="77777777" w:rsidR="002A4FBC" w:rsidRPr="0085125A" w:rsidRDefault="002A4FBC" w:rsidP="002A4FBC">
            <w:pPr>
              <w:jc w:val="both"/>
            </w:pPr>
            <w:r w:rsidRPr="0085125A">
              <w:t>0</w:t>
            </w:r>
          </w:p>
        </w:tc>
        <w:tc>
          <w:tcPr>
            <w:tcW w:w="1792" w:type="dxa"/>
            <w:gridSpan w:val="2"/>
            <w:tcBorders>
              <w:top w:val="nil"/>
              <w:left w:val="nil"/>
              <w:bottom w:val="nil"/>
              <w:right w:val="nil"/>
            </w:tcBorders>
            <w:shd w:val="clear" w:color="auto" w:fill="auto"/>
            <w:noWrap/>
            <w:vAlign w:val="bottom"/>
            <w:hideMark/>
          </w:tcPr>
          <w:p w14:paraId="16B94EB7" w14:textId="77777777" w:rsidR="002A4FBC" w:rsidRPr="0085125A" w:rsidRDefault="002A4FBC" w:rsidP="002A4FBC">
            <w:pPr>
              <w:jc w:val="both"/>
            </w:pPr>
            <w:r w:rsidRPr="0085125A">
              <w:t>-6.001</w:t>
            </w:r>
          </w:p>
        </w:tc>
        <w:tc>
          <w:tcPr>
            <w:tcW w:w="1136" w:type="dxa"/>
            <w:tcBorders>
              <w:top w:val="nil"/>
              <w:left w:val="nil"/>
              <w:bottom w:val="nil"/>
              <w:right w:val="nil"/>
            </w:tcBorders>
            <w:shd w:val="clear" w:color="auto" w:fill="auto"/>
            <w:noWrap/>
            <w:vAlign w:val="bottom"/>
            <w:hideMark/>
          </w:tcPr>
          <w:p w14:paraId="5E0D6E03" w14:textId="77777777" w:rsidR="002A4FBC" w:rsidRPr="0085125A" w:rsidRDefault="002A4FBC" w:rsidP="002A4FBC">
            <w:pPr>
              <w:jc w:val="both"/>
            </w:pPr>
            <w:r w:rsidRPr="0085125A">
              <w:t>-3.58</w:t>
            </w:r>
          </w:p>
        </w:tc>
      </w:tr>
      <w:tr w:rsidR="002A4FBC" w:rsidRPr="0085125A" w14:paraId="5B73DBA7" w14:textId="77777777" w:rsidTr="0044546F">
        <w:trPr>
          <w:trHeight w:val="283"/>
        </w:trPr>
        <w:tc>
          <w:tcPr>
            <w:tcW w:w="2876" w:type="dxa"/>
            <w:tcBorders>
              <w:top w:val="nil"/>
              <w:left w:val="nil"/>
              <w:bottom w:val="nil"/>
              <w:right w:val="nil"/>
            </w:tcBorders>
            <w:shd w:val="clear" w:color="auto" w:fill="auto"/>
            <w:noWrap/>
            <w:vAlign w:val="bottom"/>
            <w:hideMark/>
          </w:tcPr>
          <w:p w14:paraId="401F32D4" w14:textId="77777777" w:rsidR="002A4FBC" w:rsidRPr="0085125A" w:rsidRDefault="002A4FBC" w:rsidP="002A4FBC">
            <w:pPr>
              <w:jc w:val="both"/>
            </w:pPr>
            <w:r w:rsidRPr="0085125A">
              <w:t>GDP</w:t>
            </w:r>
          </w:p>
        </w:tc>
        <w:tc>
          <w:tcPr>
            <w:tcW w:w="2646" w:type="dxa"/>
            <w:tcBorders>
              <w:top w:val="nil"/>
              <w:left w:val="nil"/>
              <w:bottom w:val="nil"/>
              <w:right w:val="nil"/>
            </w:tcBorders>
            <w:shd w:val="clear" w:color="auto" w:fill="auto"/>
            <w:noWrap/>
            <w:vAlign w:val="bottom"/>
            <w:hideMark/>
          </w:tcPr>
          <w:p w14:paraId="07EDBBE5" w14:textId="77777777" w:rsidR="002A4FBC" w:rsidRPr="0085125A" w:rsidRDefault="002A4FBC" w:rsidP="002A4FBC">
            <w:pPr>
              <w:jc w:val="both"/>
            </w:pPr>
            <w:r w:rsidRPr="0085125A">
              <w:t>I(1)</w:t>
            </w:r>
          </w:p>
        </w:tc>
        <w:tc>
          <w:tcPr>
            <w:tcW w:w="876" w:type="dxa"/>
            <w:tcBorders>
              <w:top w:val="nil"/>
              <w:left w:val="nil"/>
              <w:bottom w:val="nil"/>
              <w:right w:val="nil"/>
            </w:tcBorders>
            <w:shd w:val="clear" w:color="auto" w:fill="auto"/>
            <w:noWrap/>
            <w:vAlign w:val="bottom"/>
            <w:hideMark/>
          </w:tcPr>
          <w:p w14:paraId="464E019B" w14:textId="77777777" w:rsidR="002A4FBC" w:rsidRPr="0085125A" w:rsidRDefault="002A4FBC" w:rsidP="002A4FBC">
            <w:pPr>
              <w:jc w:val="both"/>
            </w:pPr>
            <w:r w:rsidRPr="0085125A">
              <w:t>0</w:t>
            </w:r>
          </w:p>
        </w:tc>
        <w:tc>
          <w:tcPr>
            <w:tcW w:w="1792" w:type="dxa"/>
            <w:gridSpan w:val="2"/>
            <w:tcBorders>
              <w:top w:val="nil"/>
              <w:left w:val="nil"/>
              <w:bottom w:val="nil"/>
              <w:right w:val="nil"/>
            </w:tcBorders>
            <w:shd w:val="clear" w:color="auto" w:fill="auto"/>
            <w:noWrap/>
            <w:vAlign w:val="bottom"/>
            <w:hideMark/>
          </w:tcPr>
          <w:p w14:paraId="39A060BD" w14:textId="77777777" w:rsidR="002A4FBC" w:rsidRPr="0085125A" w:rsidRDefault="002A4FBC" w:rsidP="002A4FBC">
            <w:pPr>
              <w:jc w:val="both"/>
            </w:pPr>
            <w:r w:rsidRPr="0085125A">
              <w:t>-5.546</w:t>
            </w:r>
          </w:p>
        </w:tc>
        <w:tc>
          <w:tcPr>
            <w:tcW w:w="1136" w:type="dxa"/>
            <w:tcBorders>
              <w:top w:val="nil"/>
              <w:left w:val="nil"/>
              <w:bottom w:val="nil"/>
              <w:right w:val="nil"/>
            </w:tcBorders>
            <w:shd w:val="clear" w:color="auto" w:fill="auto"/>
            <w:noWrap/>
            <w:vAlign w:val="bottom"/>
            <w:hideMark/>
          </w:tcPr>
          <w:p w14:paraId="58AC0CCC" w14:textId="77777777" w:rsidR="002A4FBC" w:rsidRPr="0085125A" w:rsidRDefault="002A4FBC" w:rsidP="002A4FBC">
            <w:pPr>
              <w:jc w:val="both"/>
            </w:pPr>
            <w:r w:rsidRPr="0085125A">
              <w:t>-3.584</w:t>
            </w:r>
          </w:p>
        </w:tc>
      </w:tr>
      <w:tr w:rsidR="002A4FBC" w:rsidRPr="0085125A" w14:paraId="242767AD" w14:textId="77777777" w:rsidTr="0044546F">
        <w:trPr>
          <w:trHeight w:val="297"/>
        </w:trPr>
        <w:tc>
          <w:tcPr>
            <w:tcW w:w="2876" w:type="dxa"/>
            <w:tcBorders>
              <w:top w:val="nil"/>
              <w:left w:val="nil"/>
              <w:bottom w:val="nil"/>
              <w:right w:val="nil"/>
            </w:tcBorders>
            <w:shd w:val="clear" w:color="auto" w:fill="auto"/>
            <w:vAlign w:val="center"/>
            <w:hideMark/>
          </w:tcPr>
          <w:p w14:paraId="06BE84F1" w14:textId="77777777" w:rsidR="002A4FBC" w:rsidRPr="0085125A" w:rsidRDefault="002A4FBC" w:rsidP="002A4FBC">
            <w:pPr>
              <w:jc w:val="both"/>
            </w:pPr>
            <w:r w:rsidRPr="0085125A">
              <w:t>Industrialization</w:t>
            </w:r>
          </w:p>
        </w:tc>
        <w:tc>
          <w:tcPr>
            <w:tcW w:w="2646" w:type="dxa"/>
            <w:tcBorders>
              <w:top w:val="nil"/>
              <w:left w:val="nil"/>
              <w:bottom w:val="nil"/>
              <w:right w:val="nil"/>
            </w:tcBorders>
            <w:shd w:val="clear" w:color="auto" w:fill="auto"/>
            <w:noWrap/>
            <w:vAlign w:val="bottom"/>
            <w:hideMark/>
          </w:tcPr>
          <w:p w14:paraId="55FEBAE9" w14:textId="77777777" w:rsidR="002A4FBC" w:rsidRPr="0085125A" w:rsidRDefault="002A4FBC" w:rsidP="002A4FBC">
            <w:pPr>
              <w:jc w:val="both"/>
            </w:pPr>
            <w:r w:rsidRPr="0085125A">
              <w:t>I(0)</w:t>
            </w:r>
          </w:p>
        </w:tc>
        <w:tc>
          <w:tcPr>
            <w:tcW w:w="876" w:type="dxa"/>
            <w:tcBorders>
              <w:top w:val="nil"/>
              <w:left w:val="nil"/>
              <w:bottom w:val="nil"/>
              <w:right w:val="nil"/>
            </w:tcBorders>
            <w:shd w:val="clear" w:color="auto" w:fill="auto"/>
            <w:noWrap/>
            <w:vAlign w:val="bottom"/>
            <w:hideMark/>
          </w:tcPr>
          <w:p w14:paraId="285560AD" w14:textId="77777777" w:rsidR="002A4FBC" w:rsidRPr="0085125A" w:rsidRDefault="002A4FBC" w:rsidP="002A4FBC">
            <w:pPr>
              <w:jc w:val="both"/>
            </w:pPr>
            <w:r w:rsidRPr="0085125A">
              <w:t>0</w:t>
            </w:r>
          </w:p>
        </w:tc>
        <w:tc>
          <w:tcPr>
            <w:tcW w:w="1792" w:type="dxa"/>
            <w:gridSpan w:val="2"/>
            <w:tcBorders>
              <w:top w:val="nil"/>
              <w:left w:val="nil"/>
              <w:bottom w:val="nil"/>
              <w:right w:val="nil"/>
            </w:tcBorders>
            <w:shd w:val="clear" w:color="auto" w:fill="auto"/>
            <w:noWrap/>
            <w:vAlign w:val="bottom"/>
            <w:hideMark/>
          </w:tcPr>
          <w:p w14:paraId="6E6A9321" w14:textId="77777777" w:rsidR="002A4FBC" w:rsidRPr="0085125A" w:rsidRDefault="002A4FBC" w:rsidP="002A4FBC">
            <w:pPr>
              <w:jc w:val="both"/>
            </w:pPr>
            <w:r w:rsidRPr="0085125A">
              <w:t>-6.293</w:t>
            </w:r>
          </w:p>
        </w:tc>
        <w:tc>
          <w:tcPr>
            <w:tcW w:w="1136" w:type="dxa"/>
            <w:tcBorders>
              <w:top w:val="nil"/>
              <w:left w:val="nil"/>
              <w:bottom w:val="nil"/>
              <w:right w:val="nil"/>
            </w:tcBorders>
            <w:shd w:val="clear" w:color="auto" w:fill="auto"/>
            <w:noWrap/>
            <w:vAlign w:val="bottom"/>
            <w:hideMark/>
          </w:tcPr>
          <w:p w14:paraId="099B415E" w14:textId="77777777" w:rsidR="002A4FBC" w:rsidRPr="0085125A" w:rsidRDefault="002A4FBC" w:rsidP="002A4FBC">
            <w:pPr>
              <w:jc w:val="both"/>
            </w:pPr>
            <w:r w:rsidRPr="0085125A">
              <w:t>-3.576</w:t>
            </w:r>
          </w:p>
        </w:tc>
      </w:tr>
      <w:tr w:rsidR="002A4FBC" w:rsidRPr="0085125A" w14:paraId="43509008" w14:textId="77777777" w:rsidTr="0044546F">
        <w:trPr>
          <w:trHeight w:val="297"/>
        </w:trPr>
        <w:tc>
          <w:tcPr>
            <w:tcW w:w="2876" w:type="dxa"/>
            <w:tcBorders>
              <w:top w:val="nil"/>
              <w:left w:val="nil"/>
              <w:bottom w:val="nil"/>
              <w:right w:val="nil"/>
            </w:tcBorders>
            <w:shd w:val="clear" w:color="auto" w:fill="auto"/>
            <w:vAlign w:val="center"/>
            <w:hideMark/>
          </w:tcPr>
          <w:p w14:paraId="16C117FD" w14:textId="77777777" w:rsidR="002A4FBC" w:rsidRPr="0085125A" w:rsidRDefault="002A4FBC" w:rsidP="002A4FBC">
            <w:pPr>
              <w:jc w:val="both"/>
            </w:pPr>
            <w:r w:rsidRPr="0085125A">
              <w:t>FDI%GDP</w:t>
            </w:r>
          </w:p>
        </w:tc>
        <w:tc>
          <w:tcPr>
            <w:tcW w:w="2646" w:type="dxa"/>
            <w:tcBorders>
              <w:top w:val="nil"/>
              <w:left w:val="nil"/>
              <w:bottom w:val="nil"/>
              <w:right w:val="nil"/>
            </w:tcBorders>
            <w:shd w:val="clear" w:color="auto" w:fill="auto"/>
            <w:noWrap/>
            <w:vAlign w:val="bottom"/>
            <w:hideMark/>
          </w:tcPr>
          <w:p w14:paraId="08C20AF9" w14:textId="77777777" w:rsidR="002A4FBC" w:rsidRPr="0085125A" w:rsidRDefault="002A4FBC" w:rsidP="002A4FBC">
            <w:pPr>
              <w:jc w:val="both"/>
            </w:pPr>
            <w:r w:rsidRPr="0085125A">
              <w:t>I(0)</w:t>
            </w:r>
          </w:p>
        </w:tc>
        <w:tc>
          <w:tcPr>
            <w:tcW w:w="876" w:type="dxa"/>
            <w:tcBorders>
              <w:top w:val="nil"/>
              <w:left w:val="nil"/>
              <w:bottom w:val="nil"/>
              <w:right w:val="nil"/>
            </w:tcBorders>
            <w:shd w:val="clear" w:color="auto" w:fill="auto"/>
            <w:noWrap/>
            <w:vAlign w:val="bottom"/>
            <w:hideMark/>
          </w:tcPr>
          <w:p w14:paraId="172B9F91" w14:textId="77777777" w:rsidR="002A4FBC" w:rsidRPr="0085125A" w:rsidRDefault="002A4FBC" w:rsidP="002A4FBC">
            <w:pPr>
              <w:jc w:val="both"/>
            </w:pPr>
            <w:r w:rsidRPr="0085125A">
              <w:t>0.0086</w:t>
            </w:r>
          </w:p>
        </w:tc>
        <w:tc>
          <w:tcPr>
            <w:tcW w:w="1792" w:type="dxa"/>
            <w:gridSpan w:val="2"/>
            <w:tcBorders>
              <w:top w:val="nil"/>
              <w:left w:val="nil"/>
              <w:bottom w:val="nil"/>
              <w:right w:val="nil"/>
            </w:tcBorders>
            <w:shd w:val="clear" w:color="auto" w:fill="auto"/>
            <w:noWrap/>
            <w:vAlign w:val="bottom"/>
            <w:hideMark/>
          </w:tcPr>
          <w:p w14:paraId="7F953E7C" w14:textId="77777777" w:rsidR="002A4FBC" w:rsidRPr="0085125A" w:rsidRDefault="002A4FBC" w:rsidP="002A4FBC">
            <w:pPr>
              <w:jc w:val="both"/>
            </w:pPr>
            <w:r w:rsidRPr="0085125A">
              <w:t>-3.939</w:t>
            </w:r>
          </w:p>
        </w:tc>
        <w:tc>
          <w:tcPr>
            <w:tcW w:w="1136" w:type="dxa"/>
            <w:tcBorders>
              <w:top w:val="nil"/>
              <w:left w:val="nil"/>
              <w:bottom w:val="nil"/>
              <w:right w:val="nil"/>
            </w:tcBorders>
            <w:shd w:val="clear" w:color="auto" w:fill="auto"/>
            <w:noWrap/>
            <w:vAlign w:val="bottom"/>
            <w:hideMark/>
          </w:tcPr>
          <w:p w14:paraId="1B8B1FD3" w14:textId="77777777" w:rsidR="002A4FBC" w:rsidRPr="0085125A" w:rsidRDefault="002A4FBC" w:rsidP="002A4FBC">
            <w:pPr>
              <w:jc w:val="both"/>
            </w:pPr>
            <w:r w:rsidRPr="0085125A">
              <w:t>-3.592</w:t>
            </w:r>
          </w:p>
        </w:tc>
      </w:tr>
      <w:tr w:rsidR="002A4FBC" w:rsidRPr="0085125A" w14:paraId="4C7E5DF7" w14:textId="77777777" w:rsidTr="0044546F">
        <w:trPr>
          <w:trHeight w:val="283"/>
        </w:trPr>
        <w:tc>
          <w:tcPr>
            <w:tcW w:w="2876" w:type="dxa"/>
            <w:tcBorders>
              <w:top w:val="nil"/>
              <w:left w:val="nil"/>
              <w:bottom w:val="nil"/>
              <w:right w:val="nil"/>
            </w:tcBorders>
            <w:shd w:val="clear" w:color="auto" w:fill="auto"/>
            <w:noWrap/>
            <w:vAlign w:val="bottom"/>
            <w:hideMark/>
          </w:tcPr>
          <w:p w14:paraId="04B26D75" w14:textId="77777777" w:rsidR="002A4FBC" w:rsidRPr="0085125A" w:rsidRDefault="002A4FBC" w:rsidP="002A4FBC">
            <w:pPr>
              <w:jc w:val="both"/>
            </w:pPr>
            <w:r w:rsidRPr="0085125A">
              <w:t>ToT</w:t>
            </w:r>
          </w:p>
        </w:tc>
        <w:tc>
          <w:tcPr>
            <w:tcW w:w="2646" w:type="dxa"/>
            <w:tcBorders>
              <w:top w:val="nil"/>
              <w:left w:val="nil"/>
              <w:bottom w:val="nil"/>
              <w:right w:val="nil"/>
            </w:tcBorders>
            <w:shd w:val="clear" w:color="auto" w:fill="auto"/>
            <w:noWrap/>
            <w:vAlign w:val="bottom"/>
            <w:hideMark/>
          </w:tcPr>
          <w:p w14:paraId="4C1DE038" w14:textId="77777777" w:rsidR="002A4FBC" w:rsidRPr="0085125A" w:rsidRDefault="002A4FBC" w:rsidP="002A4FBC">
            <w:pPr>
              <w:jc w:val="both"/>
            </w:pPr>
            <w:r w:rsidRPr="0085125A">
              <w:t>I(0)</w:t>
            </w:r>
          </w:p>
        </w:tc>
        <w:tc>
          <w:tcPr>
            <w:tcW w:w="876" w:type="dxa"/>
            <w:tcBorders>
              <w:top w:val="nil"/>
              <w:left w:val="nil"/>
              <w:bottom w:val="nil"/>
              <w:right w:val="nil"/>
            </w:tcBorders>
            <w:shd w:val="clear" w:color="auto" w:fill="auto"/>
            <w:noWrap/>
            <w:vAlign w:val="bottom"/>
            <w:hideMark/>
          </w:tcPr>
          <w:p w14:paraId="312F9F75" w14:textId="7C75D7FD" w:rsidR="002A4FBC" w:rsidRPr="0085125A" w:rsidRDefault="00B37021" w:rsidP="00B37021">
            <w:pPr>
              <w:jc w:val="both"/>
            </w:pPr>
            <w:r w:rsidRPr="0085125A">
              <w:t>0.0008</w:t>
            </w:r>
          </w:p>
        </w:tc>
        <w:tc>
          <w:tcPr>
            <w:tcW w:w="1792" w:type="dxa"/>
            <w:gridSpan w:val="2"/>
            <w:tcBorders>
              <w:top w:val="nil"/>
              <w:left w:val="nil"/>
              <w:bottom w:val="nil"/>
              <w:right w:val="nil"/>
            </w:tcBorders>
            <w:shd w:val="clear" w:color="auto" w:fill="auto"/>
            <w:noWrap/>
            <w:vAlign w:val="bottom"/>
            <w:hideMark/>
          </w:tcPr>
          <w:p w14:paraId="0B05208D" w14:textId="1E645015" w:rsidR="002A4FBC" w:rsidRPr="0085125A" w:rsidRDefault="00B37021" w:rsidP="002A4FBC">
            <w:pPr>
              <w:jc w:val="both"/>
            </w:pPr>
            <w:r w:rsidRPr="0085125A">
              <w:t>-4.352</w:t>
            </w:r>
          </w:p>
        </w:tc>
        <w:tc>
          <w:tcPr>
            <w:tcW w:w="1136" w:type="dxa"/>
            <w:tcBorders>
              <w:top w:val="nil"/>
              <w:left w:val="nil"/>
              <w:bottom w:val="nil"/>
              <w:right w:val="nil"/>
            </w:tcBorders>
            <w:shd w:val="clear" w:color="auto" w:fill="auto"/>
            <w:noWrap/>
            <w:vAlign w:val="bottom"/>
            <w:hideMark/>
          </w:tcPr>
          <w:p w14:paraId="5EBE7AEA" w14:textId="77777777" w:rsidR="002A4FBC" w:rsidRPr="0085125A" w:rsidRDefault="002A4FBC" w:rsidP="002A4FBC">
            <w:pPr>
              <w:jc w:val="both"/>
            </w:pPr>
            <w:r w:rsidRPr="0085125A">
              <w:t>-3.588</w:t>
            </w:r>
          </w:p>
        </w:tc>
      </w:tr>
      <w:tr w:rsidR="002A4FBC" w:rsidRPr="0085125A" w14:paraId="402AED94" w14:textId="77777777" w:rsidTr="0044546F">
        <w:trPr>
          <w:trHeight w:val="297"/>
        </w:trPr>
        <w:tc>
          <w:tcPr>
            <w:tcW w:w="2876" w:type="dxa"/>
            <w:tcBorders>
              <w:top w:val="nil"/>
              <w:left w:val="nil"/>
              <w:bottom w:val="nil"/>
              <w:right w:val="nil"/>
            </w:tcBorders>
            <w:shd w:val="clear" w:color="auto" w:fill="auto"/>
            <w:vAlign w:val="center"/>
            <w:hideMark/>
          </w:tcPr>
          <w:p w14:paraId="26E7A958" w14:textId="77777777" w:rsidR="002A4FBC" w:rsidRPr="0085125A" w:rsidRDefault="002A4FBC" w:rsidP="002A4FBC">
            <w:pPr>
              <w:jc w:val="both"/>
            </w:pPr>
            <w:r w:rsidRPr="0085125A">
              <w:t>Population</w:t>
            </w:r>
          </w:p>
        </w:tc>
        <w:tc>
          <w:tcPr>
            <w:tcW w:w="2646" w:type="dxa"/>
            <w:tcBorders>
              <w:top w:val="nil"/>
              <w:left w:val="nil"/>
              <w:bottom w:val="nil"/>
              <w:right w:val="nil"/>
            </w:tcBorders>
            <w:shd w:val="clear" w:color="auto" w:fill="auto"/>
            <w:noWrap/>
            <w:vAlign w:val="bottom"/>
            <w:hideMark/>
          </w:tcPr>
          <w:p w14:paraId="20585BEE" w14:textId="77777777" w:rsidR="002A4FBC" w:rsidRPr="0085125A" w:rsidRDefault="002A4FBC" w:rsidP="002A4FBC">
            <w:pPr>
              <w:jc w:val="both"/>
            </w:pPr>
            <w:r w:rsidRPr="0085125A">
              <w:t>I(0)</w:t>
            </w:r>
          </w:p>
        </w:tc>
        <w:tc>
          <w:tcPr>
            <w:tcW w:w="876" w:type="dxa"/>
            <w:tcBorders>
              <w:top w:val="nil"/>
              <w:left w:val="nil"/>
              <w:bottom w:val="nil"/>
              <w:right w:val="nil"/>
            </w:tcBorders>
            <w:shd w:val="clear" w:color="auto" w:fill="auto"/>
            <w:noWrap/>
            <w:vAlign w:val="bottom"/>
            <w:hideMark/>
          </w:tcPr>
          <w:p w14:paraId="78CB6D75" w14:textId="77777777" w:rsidR="002A4FBC" w:rsidRPr="0085125A" w:rsidRDefault="002A4FBC" w:rsidP="002A4FBC">
            <w:pPr>
              <w:jc w:val="both"/>
            </w:pPr>
            <w:r w:rsidRPr="0085125A">
              <w:t>0</w:t>
            </w:r>
          </w:p>
        </w:tc>
        <w:tc>
          <w:tcPr>
            <w:tcW w:w="1792" w:type="dxa"/>
            <w:gridSpan w:val="2"/>
            <w:tcBorders>
              <w:top w:val="nil"/>
              <w:left w:val="nil"/>
              <w:bottom w:val="nil"/>
              <w:right w:val="nil"/>
            </w:tcBorders>
            <w:shd w:val="clear" w:color="auto" w:fill="auto"/>
            <w:noWrap/>
            <w:vAlign w:val="bottom"/>
            <w:hideMark/>
          </w:tcPr>
          <w:p w14:paraId="2F3323F5" w14:textId="77777777" w:rsidR="002A4FBC" w:rsidRPr="0085125A" w:rsidRDefault="002A4FBC" w:rsidP="002A4FBC">
            <w:pPr>
              <w:jc w:val="both"/>
            </w:pPr>
            <w:r w:rsidRPr="0085125A">
              <w:t>-7.729</w:t>
            </w:r>
          </w:p>
        </w:tc>
        <w:tc>
          <w:tcPr>
            <w:tcW w:w="1136" w:type="dxa"/>
            <w:tcBorders>
              <w:top w:val="nil"/>
              <w:left w:val="nil"/>
              <w:bottom w:val="nil"/>
              <w:right w:val="nil"/>
            </w:tcBorders>
            <w:shd w:val="clear" w:color="auto" w:fill="auto"/>
            <w:noWrap/>
            <w:vAlign w:val="bottom"/>
            <w:hideMark/>
          </w:tcPr>
          <w:p w14:paraId="57F72A9F" w14:textId="77777777" w:rsidR="002A4FBC" w:rsidRPr="0085125A" w:rsidRDefault="002A4FBC" w:rsidP="002A4FBC">
            <w:pPr>
              <w:jc w:val="both"/>
            </w:pPr>
            <w:r w:rsidRPr="0085125A">
              <w:t>-3.592</w:t>
            </w:r>
          </w:p>
        </w:tc>
      </w:tr>
      <w:tr w:rsidR="002A4FBC" w:rsidRPr="0085125A" w14:paraId="0A834A1E" w14:textId="77777777" w:rsidTr="0044546F">
        <w:trPr>
          <w:trHeight w:val="312"/>
        </w:trPr>
        <w:tc>
          <w:tcPr>
            <w:tcW w:w="2876" w:type="dxa"/>
            <w:tcBorders>
              <w:top w:val="nil"/>
              <w:left w:val="nil"/>
              <w:bottom w:val="single" w:sz="8" w:space="0" w:color="auto"/>
              <w:right w:val="nil"/>
            </w:tcBorders>
            <w:shd w:val="clear" w:color="auto" w:fill="auto"/>
            <w:vAlign w:val="center"/>
            <w:hideMark/>
          </w:tcPr>
          <w:p w14:paraId="49E91C1C" w14:textId="77777777" w:rsidR="002A4FBC" w:rsidRPr="0085125A" w:rsidRDefault="002A4FBC" w:rsidP="002A4FBC">
            <w:pPr>
              <w:jc w:val="both"/>
            </w:pPr>
            <w:r w:rsidRPr="0085125A">
              <w:t>Urbanization</w:t>
            </w:r>
          </w:p>
        </w:tc>
        <w:tc>
          <w:tcPr>
            <w:tcW w:w="2646" w:type="dxa"/>
            <w:tcBorders>
              <w:top w:val="nil"/>
              <w:left w:val="nil"/>
              <w:bottom w:val="single" w:sz="8" w:space="0" w:color="auto"/>
              <w:right w:val="nil"/>
            </w:tcBorders>
            <w:shd w:val="clear" w:color="auto" w:fill="auto"/>
            <w:noWrap/>
            <w:vAlign w:val="bottom"/>
            <w:hideMark/>
          </w:tcPr>
          <w:p w14:paraId="0EE833BE" w14:textId="77777777" w:rsidR="002A4FBC" w:rsidRPr="0085125A" w:rsidRDefault="002A4FBC" w:rsidP="002A4FBC">
            <w:pPr>
              <w:jc w:val="both"/>
            </w:pPr>
            <w:r w:rsidRPr="0085125A">
              <w:t>I(0)</w:t>
            </w:r>
          </w:p>
        </w:tc>
        <w:tc>
          <w:tcPr>
            <w:tcW w:w="876" w:type="dxa"/>
            <w:tcBorders>
              <w:top w:val="nil"/>
              <w:left w:val="nil"/>
              <w:bottom w:val="single" w:sz="8" w:space="0" w:color="auto"/>
              <w:right w:val="nil"/>
            </w:tcBorders>
            <w:shd w:val="clear" w:color="auto" w:fill="auto"/>
            <w:noWrap/>
            <w:vAlign w:val="bottom"/>
            <w:hideMark/>
          </w:tcPr>
          <w:p w14:paraId="7D15C421" w14:textId="77777777" w:rsidR="002A4FBC" w:rsidRPr="0085125A" w:rsidRDefault="002A4FBC" w:rsidP="002A4FBC">
            <w:pPr>
              <w:jc w:val="both"/>
            </w:pPr>
            <w:r w:rsidRPr="0085125A">
              <w:t>0.0086</w:t>
            </w:r>
          </w:p>
        </w:tc>
        <w:tc>
          <w:tcPr>
            <w:tcW w:w="1792" w:type="dxa"/>
            <w:gridSpan w:val="2"/>
            <w:tcBorders>
              <w:top w:val="nil"/>
              <w:left w:val="nil"/>
              <w:bottom w:val="single" w:sz="8" w:space="0" w:color="auto"/>
              <w:right w:val="nil"/>
            </w:tcBorders>
            <w:shd w:val="clear" w:color="auto" w:fill="auto"/>
            <w:noWrap/>
            <w:vAlign w:val="bottom"/>
            <w:hideMark/>
          </w:tcPr>
          <w:p w14:paraId="47122A76" w14:textId="5A88814E" w:rsidR="002A4FBC" w:rsidRPr="0085125A" w:rsidRDefault="004E650D" w:rsidP="004E650D">
            <w:pPr>
              <w:jc w:val="both"/>
            </w:pPr>
            <w:r w:rsidRPr="0085125A">
              <w:t>-4.008</w:t>
            </w:r>
          </w:p>
        </w:tc>
        <w:tc>
          <w:tcPr>
            <w:tcW w:w="1136" w:type="dxa"/>
            <w:tcBorders>
              <w:top w:val="nil"/>
              <w:left w:val="nil"/>
              <w:bottom w:val="single" w:sz="8" w:space="0" w:color="auto"/>
              <w:right w:val="nil"/>
            </w:tcBorders>
            <w:shd w:val="clear" w:color="auto" w:fill="auto"/>
            <w:noWrap/>
            <w:vAlign w:val="bottom"/>
            <w:hideMark/>
          </w:tcPr>
          <w:p w14:paraId="1EF3D01A" w14:textId="77777777" w:rsidR="002A4FBC" w:rsidRPr="0085125A" w:rsidRDefault="002A4FBC" w:rsidP="002A4FBC">
            <w:pPr>
              <w:jc w:val="both"/>
            </w:pPr>
            <w:r w:rsidRPr="0085125A">
              <w:t>-3.592</w:t>
            </w:r>
          </w:p>
        </w:tc>
      </w:tr>
    </w:tbl>
    <w:p w14:paraId="69BF1E1D" w14:textId="23977CDF" w:rsidR="002A4FBC" w:rsidRPr="0085125A" w:rsidRDefault="002A4FBC" w:rsidP="002A4FBC">
      <w:pPr>
        <w:spacing w:after="200" w:line="360" w:lineRule="auto"/>
        <w:jc w:val="both"/>
      </w:pPr>
      <w:r w:rsidRPr="0085125A">
        <w:rPr>
          <w:b/>
        </w:rPr>
        <w:t>Source</w:t>
      </w:r>
      <w:r w:rsidRPr="0085125A">
        <w:t xml:space="preserve">: </w:t>
      </w:r>
      <w:r w:rsidR="00FA29DA">
        <w:t xml:space="preserve">Authors’ Estimation using </w:t>
      </w:r>
      <w:r w:rsidRPr="0085125A">
        <w:t>Stata 15</w:t>
      </w:r>
    </w:p>
    <w:p w14:paraId="63F327BC" w14:textId="77777777" w:rsidR="002A4FBC" w:rsidRPr="0085125A" w:rsidRDefault="002A4FBC" w:rsidP="002A4FBC">
      <w:pPr>
        <w:spacing w:after="200" w:line="360" w:lineRule="auto"/>
        <w:jc w:val="both"/>
      </w:pPr>
      <w:r w:rsidRPr="0085125A">
        <w:t xml:space="preserve">The results in Table 6 show that FDI, industrialization, population growth, trade openness, industrialization,  and urbanization are all integrated at the order zero, </w:t>
      </w:r>
      <w:r w:rsidRPr="0085125A">
        <w:rPr>
          <w:i/>
          <w:iCs/>
        </w:rPr>
        <w:t>I</w:t>
      </w:r>
      <w:r w:rsidRPr="0085125A">
        <w:t xml:space="preserve">(0) and their corresponding </w:t>
      </w:r>
      <w:r w:rsidRPr="0085125A">
        <w:lastRenderedPageBreak/>
        <w:t xml:space="preserve">P-values are under critic values at level (at 5% significance level). On either hand, Total final energy consumption, and GDP per capita are integrated of the order one, </w:t>
      </w:r>
      <w:r w:rsidRPr="0085125A">
        <w:rPr>
          <w:i/>
          <w:iCs/>
        </w:rPr>
        <w:t>I</w:t>
      </w:r>
      <w:r w:rsidRPr="0085125A">
        <w:t>(1).</w:t>
      </w:r>
      <w:r w:rsidRPr="0085125A">
        <w:rPr>
          <w:rFonts w:eastAsiaTheme="minorEastAsia"/>
        </w:rPr>
        <w:t xml:space="preserve"> </w:t>
      </w:r>
      <w:r w:rsidRPr="0085125A">
        <w:t xml:space="preserve">Hence, the data are non-stationary time-series integrated at the order of one I(0) and I(1). </w:t>
      </w:r>
    </w:p>
    <w:p w14:paraId="0248320A" w14:textId="77777777" w:rsidR="002A4FBC" w:rsidRPr="0085125A" w:rsidRDefault="002A4FBC" w:rsidP="002A4FBC">
      <w:pPr>
        <w:spacing w:after="200" w:line="360" w:lineRule="auto"/>
        <w:jc w:val="both"/>
        <w:rPr>
          <w:b/>
        </w:rPr>
      </w:pPr>
      <w:r w:rsidRPr="0085125A">
        <w:t>4.3.</w:t>
      </w:r>
      <w:r w:rsidRPr="0085125A">
        <w:rPr>
          <w:b/>
        </w:rPr>
        <w:t xml:space="preserve"> </w:t>
      </w:r>
      <w:bookmarkStart w:id="17" w:name="_Toc87879549"/>
      <w:bookmarkStart w:id="18" w:name="_Toc87879722"/>
      <w:r w:rsidRPr="0085125A">
        <w:rPr>
          <w:b/>
        </w:rPr>
        <w:t xml:space="preserve">Lag Selection </w:t>
      </w:r>
      <w:bookmarkStart w:id="19" w:name="_Toc87452346"/>
      <w:bookmarkEnd w:id="17"/>
      <w:bookmarkEnd w:id="18"/>
    </w:p>
    <w:tbl>
      <w:tblPr>
        <w:tblpPr w:leftFromText="180" w:rightFromText="180" w:vertAnchor="text" w:horzAnchor="margin" w:tblpY="463"/>
        <w:tblW w:w="9360" w:type="dxa"/>
        <w:tblLook w:val="04A0" w:firstRow="1" w:lastRow="0" w:firstColumn="1" w:lastColumn="0" w:noHBand="0" w:noVBand="1"/>
      </w:tblPr>
      <w:tblGrid>
        <w:gridCol w:w="1618"/>
        <w:gridCol w:w="216"/>
        <w:gridCol w:w="775"/>
        <w:gridCol w:w="863"/>
        <w:gridCol w:w="216"/>
        <w:gridCol w:w="636"/>
        <w:gridCol w:w="216"/>
        <w:gridCol w:w="216"/>
        <w:gridCol w:w="258"/>
        <w:gridCol w:w="775"/>
        <w:gridCol w:w="1184"/>
        <w:gridCol w:w="1053"/>
        <w:gridCol w:w="1334"/>
      </w:tblGrid>
      <w:tr w:rsidR="002A4FBC" w:rsidRPr="0085125A" w14:paraId="1FBEDEA9" w14:textId="77777777" w:rsidTr="002A4FBC">
        <w:trPr>
          <w:trHeight w:val="349"/>
        </w:trPr>
        <w:tc>
          <w:tcPr>
            <w:tcW w:w="3469" w:type="dxa"/>
            <w:gridSpan w:val="4"/>
            <w:tcBorders>
              <w:top w:val="single" w:sz="4" w:space="0" w:color="auto"/>
              <w:left w:val="nil"/>
              <w:bottom w:val="single" w:sz="4" w:space="0" w:color="auto"/>
              <w:right w:val="nil"/>
            </w:tcBorders>
            <w:shd w:val="clear" w:color="auto" w:fill="auto"/>
            <w:noWrap/>
            <w:vAlign w:val="bottom"/>
            <w:hideMark/>
          </w:tcPr>
          <w:p w14:paraId="26B45BD6" w14:textId="77777777" w:rsidR="002A4FBC" w:rsidRPr="0085125A" w:rsidRDefault="002A4FBC" w:rsidP="002A4FBC">
            <w:pPr>
              <w:jc w:val="both"/>
              <w:rPr>
                <w:b/>
              </w:rPr>
            </w:pPr>
            <w:r w:rsidRPr="0085125A">
              <w:rPr>
                <w:b/>
              </w:rPr>
              <w:t>Sample: 1994 - 2020, but with a gap</w:t>
            </w:r>
          </w:p>
        </w:tc>
        <w:tc>
          <w:tcPr>
            <w:tcW w:w="927" w:type="dxa"/>
            <w:gridSpan w:val="3"/>
            <w:tcBorders>
              <w:top w:val="single" w:sz="4" w:space="0" w:color="auto"/>
              <w:left w:val="nil"/>
              <w:bottom w:val="single" w:sz="4" w:space="0" w:color="auto"/>
              <w:right w:val="nil"/>
            </w:tcBorders>
            <w:shd w:val="clear" w:color="auto" w:fill="auto"/>
            <w:noWrap/>
            <w:vAlign w:val="bottom"/>
            <w:hideMark/>
          </w:tcPr>
          <w:p w14:paraId="7033EF0B" w14:textId="77777777" w:rsidR="002A4FBC" w:rsidRPr="0085125A" w:rsidRDefault="002A4FBC" w:rsidP="002A4FBC">
            <w:pPr>
              <w:jc w:val="both"/>
              <w:rPr>
                <w:b/>
              </w:rPr>
            </w:pPr>
            <w:r w:rsidRPr="0085125A">
              <w:rPr>
                <w:rFonts w:hint="eastAsia"/>
                <w:b/>
              </w:rPr>
              <w:t> </w:t>
            </w:r>
          </w:p>
        </w:tc>
        <w:tc>
          <w:tcPr>
            <w:tcW w:w="614" w:type="dxa"/>
            <w:gridSpan w:val="2"/>
            <w:tcBorders>
              <w:top w:val="single" w:sz="4" w:space="0" w:color="auto"/>
              <w:left w:val="nil"/>
              <w:bottom w:val="single" w:sz="4" w:space="0" w:color="auto"/>
              <w:right w:val="nil"/>
            </w:tcBorders>
            <w:shd w:val="clear" w:color="auto" w:fill="auto"/>
            <w:noWrap/>
            <w:vAlign w:val="bottom"/>
            <w:hideMark/>
          </w:tcPr>
          <w:p w14:paraId="136662B9" w14:textId="77777777" w:rsidR="002A4FBC" w:rsidRPr="0085125A" w:rsidRDefault="002A4FBC" w:rsidP="002A4FBC">
            <w:pPr>
              <w:jc w:val="both"/>
              <w:rPr>
                <w:b/>
              </w:rPr>
            </w:pPr>
            <w:r w:rsidRPr="0085125A">
              <w:rPr>
                <w:rFonts w:hint="eastAsia"/>
                <w:b/>
              </w:rPr>
              <w:t> </w:t>
            </w:r>
          </w:p>
        </w:tc>
        <w:tc>
          <w:tcPr>
            <w:tcW w:w="776" w:type="dxa"/>
            <w:tcBorders>
              <w:top w:val="single" w:sz="4" w:space="0" w:color="auto"/>
              <w:left w:val="nil"/>
              <w:bottom w:val="single" w:sz="4" w:space="0" w:color="auto"/>
              <w:right w:val="nil"/>
            </w:tcBorders>
            <w:shd w:val="clear" w:color="auto" w:fill="auto"/>
            <w:noWrap/>
            <w:vAlign w:val="bottom"/>
            <w:hideMark/>
          </w:tcPr>
          <w:p w14:paraId="59E61212" w14:textId="77777777" w:rsidR="002A4FBC" w:rsidRPr="0085125A" w:rsidRDefault="002A4FBC" w:rsidP="002A4FBC">
            <w:pPr>
              <w:jc w:val="both"/>
              <w:rPr>
                <w:b/>
              </w:rPr>
            </w:pPr>
            <w:r w:rsidRPr="0085125A">
              <w:rPr>
                <w:rFonts w:hint="eastAsia"/>
                <w:b/>
              </w:rPr>
              <w:t> </w:t>
            </w:r>
          </w:p>
        </w:tc>
        <w:tc>
          <w:tcPr>
            <w:tcW w:w="3574" w:type="dxa"/>
            <w:gridSpan w:val="3"/>
            <w:tcBorders>
              <w:top w:val="single" w:sz="4" w:space="0" w:color="auto"/>
              <w:left w:val="nil"/>
              <w:bottom w:val="single" w:sz="4" w:space="0" w:color="auto"/>
              <w:right w:val="nil"/>
            </w:tcBorders>
            <w:shd w:val="clear" w:color="auto" w:fill="auto"/>
            <w:noWrap/>
            <w:vAlign w:val="bottom"/>
            <w:hideMark/>
          </w:tcPr>
          <w:p w14:paraId="6A502596" w14:textId="77777777" w:rsidR="002A4FBC" w:rsidRPr="0085125A" w:rsidRDefault="002A4FBC" w:rsidP="002A4FBC">
            <w:pPr>
              <w:jc w:val="both"/>
              <w:rPr>
                <w:b/>
              </w:rPr>
            </w:pPr>
            <w:r w:rsidRPr="0085125A">
              <w:rPr>
                <w:b/>
              </w:rPr>
              <w:t xml:space="preserve"> Number of obs      =        27</w:t>
            </w:r>
          </w:p>
        </w:tc>
      </w:tr>
      <w:tr w:rsidR="002A4FBC" w:rsidRPr="0085125A" w14:paraId="0251A084" w14:textId="77777777" w:rsidTr="002A4FBC">
        <w:trPr>
          <w:trHeight w:val="349"/>
        </w:trPr>
        <w:tc>
          <w:tcPr>
            <w:tcW w:w="1701" w:type="dxa"/>
            <w:gridSpan w:val="2"/>
            <w:tcBorders>
              <w:top w:val="nil"/>
              <w:left w:val="nil"/>
              <w:bottom w:val="single" w:sz="4" w:space="0" w:color="auto"/>
              <w:right w:val="nil"/>
            </w:tcBorders>
            <w:shd w:val="clear" w:color="auto" w:fill="auto"/>
            <w:noWrap/>
            <w:vAlign w:val="center"/>
            <w:hideMark/>
          </w:tcPr>
          <w:p w14:paraId="7870B3D6" w14:textId="77777777" w:rsidR="002A4FBC" w:rsidRPr="0085125A" w:rsidRDefault="002A4FBC" w:rsidP="002A4FBC">
            <w:pPr>
              <w:jc w:val="both"/>
              <w:rPr>
                <w:b/>
              </w:rPr>
            </w:pPr>
            <w:r w:rsidRPr="0085125A">
              <w:rPr>
                <w:b/>
              </w:rPr>
              <w:t>No of lags</w:t>
            </w:r>
          </w:p>
        </w:tc>
        <w:tc>
          <w:tcPr>
            <w:tcW w:w="909" w:type="dxa"/>
            <w:tcBorders>
              <w:top w:val="nil"/>
              <w:left w:val="nil"/>
              <w:bottom w:val="single" w:sz="4" w:space="0" w:color="auto"/>
              <w:right w:val="nil"/>
            </w:tcBorders>
            <w:shd w:val="clear" w:color="auto" w:fill="auto"/>
            <w:noWrap/>
            <w:vAlign w:val="center"/>
            <w:hideMark/>
          </w:tcPr>
          <w:p w14:paraId="16B00CA9" w14:textId="77777777" w:rsidR="002A4FBC" w:rsidRPr="0085125A" w:rsidRDefault="002A4FBC" w:rsidP="002A4FBC">
            <w:pPr>
              <w:jc w:val="both"/>
              <w:rPr>
                <w:b/>
                <w:bCs/>
              </w:rPr>
            </w:pPr>
            <w:r w:rsidRPr="0085125A">
              <w:rPr>
                <w:b/>
                <w:bCs/>
              </w:rPr>
              <w:t>LL</w:t>
            </w:r>
          </w:p>
        </w:tc>
        <w:tc>
          <w:tcPr>
            <w:tcW w:w="990" w:type="dxa"/>
            <w:gridSpan w:val="2"/>
            <w:tcBorders>
              <w:top w:val="nil"/>
              <w:left w:val="nil"/>
              <w:bottom w:val="single" w:sz="4" w:space="0" w:color="auto"/>
              <w:right w:val="nil"/>
            </w:tcBorders>
            <w:shd w:val="clear" w:color="auto" w:fill="auto"/>
            <w:noWrap/>
            <w:vAlign w:val="center"/>
            <w:hideMark/>
          </w:tcPr>
          <w:p w14:paraId="7AE262DE" w14:textId="77777777" w:rsidR="002A4FBC" w:rsidRPr="0085125A" w:rsidRDefault="002A4FBC" w:rsidP="002A4FBC">
            <w:pPr>
              <w:jc w:val="both"/>
              <w:rPr>
                <w:b/>
                <w:bCs/>
              </w:rPr>
            </w:pPr>
            <w:r w:rsidRPr="0085125A">
              <w:rPr>
                <w:b/>
                <w:bCs/>
              </w:rPr>
              <w:t>LR</w:t>
            </w:r>
          </w:p>
        </w:tc>
        <w:tc>
          <w:tcPr>
            <w:tcW w:w="720" w:type="dxa"/>
            <w:tcBorders>
              <w:top w:val="nil"/>
              <w:left w:val="nil"/>
              <w:bottom w:val="single" w:sz="4" w:space="0" w:color="auto"/>
              <w:right w:val="nil"/>
            </w:tcBorders>
            <w:shd w:val="clear" w:color="auto" w:fill="auto"/>
            <w:noWrap/>
            <w:vAlign w:val="center"/>
            <w:hideMark/>
          </w:tcPr>
          <w:p w14:paraId="59F7D6AF" w14:textId="77777777" w:rsidR="002A4FBC" w:rsidRPr="0085125A" w:rsidRDefault="002A4FBC" w:rsidP="002A4FBC">
            <w:pPr>
              <w:jc w:val="both"/>
              <w:rPr>
                <w:b/>
                <w:bCs/>
              </w:rPr>
            </w:pPr>
            <w:r w:rsidRPr="0085125A">
              <w:rPr>
                <w:b/>
                <w:bCs/>
              </w:rPr>
              <w:t>df</w:t>
            </w:r>
          </w:p>
        </w:tc>
        <w:tc>
          <w:tcPr>
            <w:tcW w:w="360" w:type="dxa"/>
            <w:gridSpan w:val="2"/>
            <w:tcBorders>
              <w:top w:val="nil"/>
              <w:left w:val="nil"/>
              <w:bottom w:val="single" w:sz="4" w:space="0" w:color="auto"/>
              <w:right w:val="nil"/>
            </w:tcBorders>
            <w:shd w:val="clear" w:color="auto" w:fill="auto"/>
            <w:noWrap/>
            <w:vAlign w:val="center"/>
            <w:hideMark/>
          </w:tcPr>
          <w:p w14:paraId="13F3D11E" w14:textId="77777777" w:rsidR="002A4FBC" w:rsidRPr="0085125A" w:rsidRDefault="002A4FBC" w:rsidP="002A4FBC">
            <w:pPr>
              <w:jc w:val="both"/>
              <w:rPr>
                <w:b/>
                <w:bCs/>
              </w:rPr>
            </w:pPr>
            <w:r w:rsidRPr="0085125A">
              <w:rPr>
                <w:b/>
                <w:bCs/>
              </w:rPr>
              <w:t>P</w:t>
            </w:r>
          </w:p>
        </w:tc>
        <w:tc>
          <w:tcPr>
            <w:tcW w:w="1106" w:type="dxa"/>
            <w:gridSpan w:val="2"/>
            <w:tcBorders>
              <w:top w:val="nil"/>
              <w:left w:val="nil"/>
              <w:bottom w:val="single" w:sz="4" w:space="0" w:color="auto"/>
              <w:right w:val="nil"/>
            </w:tcBorders>
            <w:shd w:val="clear" w:color="auto" w:fill="auto"/>
            <w:noWrap/>
            <w:vAlign w:val="center"/>
            <w:hideMark/>
          </w:tcPr>
          <w:p w14:paraId="0BAA21B3" w14:textId="77777777" w:rsidR="002A4FBC" w:rsidRPr="0085125A" w:rsidRDefault="002A4FBC" w:rsidP="002A4FBC">
            <w:pPr>
              <w:jc w:val="both"/>
              <w:rPr>
                <w:b/>
                <w:bCs/>
              </w:rPr>
            </w:pPr>
            <w:r w:rsidRPr="0085125A">
              <w:rPr>
                <w:b/>
                <w:bCs/>
              </w:rPr>
              <w:t>FPE</w:t>
            </w:r>
          </w:p>
        </w:tc>
        <w:tc>
          <w:tcPr>
            <w:tcW w:w="1185" w:type="dxa"/>
            <w:tcBorders>
              <w:top w:val="nil"/>
              <w:left w:val="nil"/>
              <w:bottom w:val="single" w:sz="4" w:space="0" w:color="auto"/>
              <w:right w:val="nil"/>
            </w:tcBorders>
            <w:shd w:val="clear" w:color="auto" w:fill="auto"/>
            <w:noWrap/>
            <w:vAlign w:val="center"/>
            <w:hideMark/>
          </w:tcPr>
          <w:p w14:paraId="18DB938A" w14:textId="77777777" w:rsidR="002A4FBC" w:rsidRPr="0085125A" w:rsidRDefault="002A4FBC" w:rsidP="002A4FBC">
            <w:pPr>
              <w:jc w:val="both"/>
              <w:rPr>
                <w:b/>
                <w:bCs/>
              </w:rPr>
            </w:pPr>
            <w:r w:rsidRPr="0085125A">
              <w:rPr>
                <w:b/>
                <w:bCs/>
              </w:rPr>
              <w:t>AIC</w:t>
            </w:r>
          </w:p>
        </w:tc>
        <w:tc>
          <w:tcPr>
            <w:tcW w:w="1054" w:type="dxa"/>
            <w:tcBorders>
              <w:top w:val="nil"/>
              <w:left w:val="nil"/>
              <w:bottom w:val="single" w:sz="4" w:space="0" w:color="auto"/>
              <w:right w:val="nil"/>
            </w:tcBorders>
            <w:shd w:val="clear" w:color="auto" w:fill="auto"/>
            <w:noWrap/>
            <w:vAlign w:val="center"/>
            <w:hideMark/>
          </w:tcPr>
          <w:p w14:paraId="3AB7E1DC" w14:textId="77777777" w:rsidR="002A4FBC" w:rsidRPr="0085125A" w:rsidRDefault="002A4FBC" w:rsidP="002A4FBC">
            <w:pPr>
              <w:jc w:val="both"/>
              <w:rPr>
                <w:b/>
                <w:bCs/>
              </w:rPr>
            </w:pPr>
            <w:r w:rsidRPr="0085125A">
              <w:rPr>
                <w:b/>
                <w:bCs/>
              </w:rPr>
              <w:t>HQIC</w:t>
            </w:r>
          </w:p>
        </w:tc>
        <w:tc>
          <w:tcPr>
            <w:tcW w:w="1335" w:type="dxa"/>
            <w:tcBorders>
              <w:top w:val="nil"/>
              <w:left w:val="nil"/>
              <w:bottom w:val="single" w:sz="4" w:space="0" w:color="auto"/>
              <w:right w:val="nil"/>
            </w:tcBorders>
            <w:shd w:val="clear" w:color="auto" w:fill="auto"/>
            <w:noWrap/>
            <w:vAlign w:val="center"/>
            <w:hideMark/>
          </w:tcPr>
          <w:p w14:paraId="3B608EC3" w14:textId="77777777" w:rsidR="002A4FBC" w:rsidRPr="0085125A" w:rsidRDefault="002A4FBC" w:rsidP="002A4FBC">
            <w:pPr>
              <w:jc w:val="both"/>
              <w:rPr>
                <w:b/>
                <w:bCs/>
              </w:rPr>
            </w:pPr>
            <w:r w:rsidRPr="0085125A">
              <w:rPr>
                <w:b/>
                <w:bCs/>
              </w:rPr>
              <w:t>SBIC</w:t>
            </w:r>
          </w:p>
        </w:tc>
      </w:tr>
      <w:tr w:rsidR="002A4FBC" w:rsidRPr="0085125A" w14:paraId="77E460E8" w14:textId="77777777" w:rsidTr="002A4FBC">
        <w:trPr>
          <w:trHeight w:val="629"/>
        </w:trPr>
        <w:tc>
          <w:tcPr>
            <w:tcW w:w="1618" w:type="dxa"/>
            <w:tcBorders>
              <w:top w:val="nil"/>
              <w:left w:val="nil"/>
              <w:bottom w:val="nil"/>
              <w:right w:val="nil"/>
            </w:tcBorders>
            <w:shd w:val="clear" w:color="auto" w:fill="auto"/>
            <w:noWrap/>
            <w:vAlign w:val="center"/>
            <w:hideMark/>
          </w:tcPr>
          <w:p w14:paraId="10879AFC" w14:textId="77777777" w:rsidR="002A4FBC" w:rsidRPr="0085125A" w:rsidRDefault="002A4FBC" w:rsidP="002A4FBC">
            <w:pPr>
              <w:jc w:val="both"/>
            </w:pPr>
            <w:r w:rsidRPr="0085125A">
              <w:t>0</w:t>
            </w:r>
          </w:p>
        </w:tc>
        <w:tc>
          <w:tcPr>
            <w:tcW w:w="992" w:type="dxa"/>
            <w:gridSpan w:val="2"/>
            <w:tcBorders>
              <w:top w:val="nil"/>
              <w:left w:val="nil"/>
              <w:bottom w:val="nil"/>
              <w:right w:val="nil"/>
            </w:tcBorders>
            <w:shd w:val="clear" w:color="auto" w:fill="auto"/>
            <w:noWrap/>
            <w:vAlign w:val="center"/>
            <w:hideMark/>
          </w:tcPr>
          <w:p w14:paraId="3D515D69" w14:textId="0C5B1A53" w:rsidR="002A4FBC" w:rsidRPr="0085125A" w:rsidRDefault="00407B44" w:rsidP="002A4FBC">
            <w:pPr>
              <w:jc w:val="both"/>
            </w:pPr>
            <w:r w:rsidRPr="0085125A">
              <w:t>-119.27</w:t>
            </w:r>
          </w:p>
        </w:tc>
        <w:tc>
          <w:tcPr>
            <w:tcW w:w="990" w:type="dxa"/>
            <w:gridSpan w:val="2"/>
            <w:tcBorders>
              <w:top w:val="nil"/>
              <w:left w:val="nil"/>
              <w:bottom w:val="nil"/>
              <w:right w:val="nil"/>
            </w:tcBorders>
            <w:shd w:val="clear" w:color="auto" w:fill="auto"/>
            <w:noWrap/>
            <w:hideMark/>
          </w:tcPr>
          <w:p w14:paraId="757967E6" w14:textId="77777777" w:rsidR="002A4FBC" w:rsidRPr="0085125A" w:rsidRDefault="002A4FBC" w:rsidP="002A4FBC">
            <w:pPr>
              <w:jc w:val="both"/>
            </w:pPr>
          </w:p>
        </w:tc>
        <w:tc>
          <w:tcPr>
            <w:tcW w:w="720" w:type="dxa"/>
            <w:tcBorders>
              <w:top w:val="nil"/>
              <w:left w:val="nil"/>
              <w:bottom w:val="nil"/>
              <w:right w:val="nil"/>
            </w:tcBorders>
            <w:shd w:val="clear" w:color="auto" w:fill="auto"/>
            <w:noWrap/>
            <w:hideMark/>
          </w:tcPr>
          <w:p w14:paraId="4D93CBD4" w14:textId="77777777" w:rsidR="002A4FBC" w:rsidRPr="0085125A" w:rsidRDefault="002A4FBC" w:rsidP="002A4FBC">
            <w:pPr>
              <w:jc w:val="both"/>
            </w:pPr>
          </w:p>
        </w:tc>
        <w:tc>
          <w:tcPr>
            <w:tcW w:w="360" w:type="dxa"/>
            <w:gridSpan w:val="2"/>
            <w:tcBorders>
              <w:top w:val="nil"/>
              <w:left w:val="nil"/>
              <w:bottom w:val="nil"/>
              <w:right w:val="nil"/>
            </w:tcBorders>
            <w:shd w:val="clear" w:color="auto" w:fill="auto"/>
            <w:noWrap/>
            <w:vAlign w:val="center"/>
            <w:hideMark/>
          </w:tcPr>
          <w:p w14:paraId="39FF65CC" w14:textId="77777777" w:rsidR="002A4FBC" w:rsidRPr="0085125A" w:rsidRDefault="002A4FBC" w:rsidP="002A4FBC">
            <w:pPr>
              <w:jc w:val="both"/>
            </w:pPr>
          </w:p>
        </w:tc>
        <w:tc>
          <w:tcPr>
            <w:tcW w:w="1106" w:type="dxa"/>
            <w:gridSpan w:val="2"/>
            <w:tcBorders>
              <w:top w:val="nil"/>
              <w:left w:val="nil"/>
              <w:bottom w:val="nil"/>
              <w:right w:val="nil"/>
            </w:tcBorders>
            <w:shd w:val="clear" w:color="auto" w:fill="auto"/>
            <w:noWrap/>
            <w:vAlign w:val="center"/>
            <w:hideMark/>
          </w:tcPr>
          <w:p w14:paraId="15F11E86" w14:textId="72E6D1B3" w:rsidR="002A4FBC" w:rsidRPr="0085125A" w:rsidRDefault="00407B44" w:rsidP="002A4FBC">
            <w:pPr>
              <w:jc w:val="both"/>
            </w:pPr>
            <w:r w:rsidRPr="0085125A">
              <w:t>0.00002</w:t>
            </w:r>
          </w:p>
        </w:tc>
        <w:tc>
          <w:tcPr>
            <w:tcW w:w="1185" w:type="dxa"/>
            <w:tcBorders>
              <w:top w:val="nil"/>
              <w:left w:val="nil"/>
              <w:bottom w:val="nil"/>
              <w:right w:val="nil"/>
            </w:tcBorders>
            <w:shd w:val="clear" w:color="auto" w:fill="auto"/>
            <w:noWrap/>
            <w:vAlign w:val="center"/>
            <w:hideMark/>
          </w:tcPr>
          <w:p w14:paraId="5E2CC53B" w14:textId="25DA1497" w:rsidR="002A4FBC" w:rsidRPr="0085125A" w:rsidRDefault="00407B44" w:rsidP="002A4FBC">
            <w:pPr>
              <w:jc w:val="both"/>
            </w:pPr>
            <w:r w:rsidRPr="0085125A">
              <w:t>9.35347</w:t>
            </w:r>
          </w:p>
        </w:tc>
        <w:tc>
          <w:tcPr>
            <w:tcW w:w="1054" w:type="dxa"/>
            <w:tcBorders>
              <w:top w:val="nil"/>
              <w:left w:val="nil"/>
              <w:bottom w:val="nil"/>
              <w:right w:val="nil"/>
            </w:tcBorders>
            <w:shd w:val="clear" w:color="auto" w:fill="auto"/>
            <w:noWrap/>
            <w:vAlign w:val="center"/>
            <w:hideMark/>
          </w:tcPr>
          <w:p w14:paraId="76975E5E" w14:textId="29C40749" w:rsidR="002A4FBC" w:rsidRPr="0085125A" w:rsidRDefault="00407B44" w:rsidP="002A4FBC">
            <w:pPr>
              <w:jc w:val="both"/>
            </w:pPr>
            <w:r w:rsidRPr="0085125A">
              <w:t>9.45337</w:t>
            </w:r>
          </w:p>
        </w:tc>
        <w:tc>
          <w:tcPr>
            <w:tcW w:w="1335" w:type="dxa"/>
            <w:tcBorders>
              <w:top w:val="nil"/>
              <w:left w:val="nil"/>
              <w:bottom w:val="nil"/>
              <w:right w:val="nil"/>
            </w:tcBorders>
            <w:shd w:val="clear" w:color="auto" w:fill="auto"/>
            <w:noWrap/>
            <w:vAlign w:val="center"/>
            <w:hideMark/>
          </w:tcPr>
          <w:p w14:paraId="280C389B" w14:textId="79424719" w:rsidR="002A4FBC" w:rsidRPr="0085125A" w:rsidRDefault="00407B44" w:rsidP="002A4FBC">
            <w:pPr>
              <w:jc w:val="both"/>
            </w:pPr>
            <w:r w:rsidRPr="0085125A">
              <w:t>9.68943</w:t>
            </w:r>
          </w:p>
        </w:tc>
      </w:tr>
      <w:tr w:rsidR="002A4FBC" w:rsidRPr="0085125A" w14:paraId="3A9F11D0" w14:textId="77777777" w:rsidTr="002A4FBC">
        <w:trPr>
          <w:trHeight w:val="349"/>
        </w:trPr>
        <w:tc>
          <w:tcPr>
            <w:tcW w:w="1618" w:type="dxa"/>
            <w:tcBorders>
              <w:top w:val="nil"/>
              <w:left w:val="nil"/>
              <w:bottom w:val="nil"/>
              <w:right w:val="nil"/>
            </w:tcBorders>
            <w:shd w:val="clear" w:color="auto" w:fill="auto"/>
            <w:noWrap/>
            <w:vAlign w:val="center"/>
            <w:hideMark/>
          </w:tcPr>
          <w:p w14:paraId="0F6692E1" w14:textId="77777777" w:rsidR="002A4FBC" w:rsidRPr="0085125A" w:rsidRDefault="002A4FBC" w:rsidP="002A4FBC">
            <w:pPr>
              <w:jc w:val="both"/>
            </w:pPr>
            <w:r w:rsidRPr="0085125A">
              <w:t>1</w:t>
            </w:r>
          </w:p>
        </w:tc>
        <w:tc>
          <w:tcPr>
            <w:tcW w:w="992" w:type="dxa"/>
            <w:gridSpan w:val="2"/>
            <w:tcBorders>
              <w:top w:val="nil"/>
              <w:left w:val="nil"/>
              <w:bottom w:val="nil"/>
              <w:right w:val="nil"/>
            </w:tcBorders>
            <w:shd w:val="clear" w:color="auto" w:fill="auto"/>
            <w:noWrap/>
            <w:vAlign w:val="center"/>
            <w:hideMark/>
          </w:tcPr>
          <w:p w14:paraId="6D1D791C" w14:textId="6B5100FE" w:rsidR="002A4FBC" w:rsidRPr="0085125A" w:rsidRDefault="00407B44" w:rsidP="002A4FBC">
            <w:pPr>
              <w:jc w:val="both"/>
            </w:pPr>
            <w:r w:rsidRPr="0085125A">
              <w:t>116.889</w:t>
            </w:r>
          </w:p>
        </w:tc>
        <w:tc>
          <w:tcPr>
            <w:tcW w:w="990" w:type="dxa"/>
            <w:gridSpan w:val="2"/>
            <w:tcBorders>
              <w:top w:val="nil"/>
              <w:left w:val="nil"/>
              <w:bottom w:val="nil"/>
              <w:right w:val="nil"/>
            </w:tcBorders>
            <w:shd w:val="clear" w:color="auto" w:fill="auto"/>
            <w:noWrap/>
            <w:vAlign w:val="center"/>
            <w:hideMark/>
          </w:tcPr>
          <w:p w14:paraId="1EBC09EE" w14:textId="0FBE609A" w:rsidR="002A4FBC" w:rsidRPr="0085125A" w:rsidRDefault="00407B44" w:rsidP="002A4FBC">
            <w:pPr>
              <w:jc w:val="both"/>
            </w:pPr>
            <w:r w:rsidRPr="0085125A">
              <w:t>472.32</w:t>
            </w:r>
          </w:p>
        </w:tc>
        <w:tc>
          <w:tcPr>
            <w:tcW w:w="720" w:type="dxa"/>
            <w:tcBorders>
              <w:top w:val="nil"/>
              <w:left w:val="nil"/>
              <w:bottom w:val="nil"/>
              <w:right w:val="nil"/>
            </w:tcBorders>
            <w:shd w:val="clear" w:color="auto" w:fill="auto"/>
            <w:noWrap/>
            <w:vAlign w:val="center"/>
            <w:hideMark/>
          </w:tcPr>
          <w:p w14:paraId="2ED5B286" w14:textId="77777777" w:rsidR="002A4FBC" w:rsidRPr="0085125A" w:rsidRDefault="002A4FBC" w:rsidP="002A4FBC">
            <w:pPr>
              <w:jc w:val="both"/>
            </w:pPr>
            <w:r w:rsidRPr="0085125A">
              <w:t>49</w:t>
            </w:r>
          </w:p>
        </w:tc>
        <w:tc>
          <w:tcPr>
            <w:tcW w:w="360" w:type="dxa"/>
            <w:gridSpan w:val="2"/>
            <w:tcBorders>
              <w:top w:val="nil"/>
              <w:left w:val="nil"/>
              <w:bottom w:val="nil"/>
              <w:right w:val="nil"/>
            </w:tcBorders>
            <w:shd w:val="clear" w:color="auto" w:fill="auto"/>
            <w:noWrap/>
            <w:vAlign w:val="center"/>
            <w:hideMark/>
          </w:tcPr>
          <w:p w14:paraId="572E87F5" w14:textId="77777777" w:rsidR="002A4FBC" w:rsidRPr="0085125A" w:rsidRDefault="002A4FBC" w:rsidP="002A4FBC">
            <w:pPr>
              <w:jc w:val="both"/>
            </w:pPr>
            <w:r w:rsidRPr="0085125A">
              <w:t>0</w:t>
            </w:r>
          </w:p>
        </w:tc>
        <w:tc>
          <w:tcPr>
            <w:tcW w:w="1106" w:type="dxa"/>
            <w:gridSpan w:val="2"/>
            <w:tcBorders>
              <w:top w:val="nil"/>
              <w:left w:val="nil"/>
              <w:bottom w:val="nil"/>
              <w:right w:val="nil"/>
            </w:tcBorders>
            <w:shd w:val="clear" w:color="auto" w:fill="auto"/>
            <w:noWrap/>
            <w:vAlign w:val="center"/>
            <w:hideMark/>
          </w:tcPr>
          <w:p w14:paraId="2F22B492" w14:textId="2B9CCA9E" w:rsidR="002A4FBC" w:rsidRPr="0085125A" w:rsidRDefault="00407B44" w:rsidP="002A4FBC">
            <w:pPr>
              <w:jc w:val="both"/>
            </w:pPr>
            <w:r w:rsidRPr="0085125A">
              <w:t>2.9e</w:t>
            </w:r>
            <w:r w:rsidR="002A4FBC" w:rsidRPr="0085125A">
              <w:t>-11</w:t>
            </w:r>
          </w:p>
        </w:tc>
        <w:tc>
          <w:tcPr>
            <w:tcW w:w="1185" w:type="dxa"/>
            <w:tcBorders>
              <w:top w:val="nil"/>
              <w:left w:val="nil"/>
              <w:bottom w:val="nil"/>
              <w:right w:val="nil"/>
            </w:tcBorders>
            <w:shd w:val="clear" w:color="auto" w:fill="auto"/>
            <w:noWrap/>
            <w:vAlign w:val="center"/>
            <w:hideMark/>
          </w:tcPr>
          <w:p w14:paraId="61761476" w14:textId="503287CC" w:rsidR="002A4FBC" w:rsidRPr="0085125A" w:rsidRDefault="00407B44" w:rsidP="002A4FBC">
            <w:pPr>
              <w:jc w:val="both"/>
            </w:pPr>
            <w:r w:rsidRPr="0085125A">
              <w:t>-4.51026</w:t>
            </w:r>
          </w:p>
        </w:tc>
        <w:tc>
          <w:tcPr>
            <w:tcW w:w="1054" w:type="dxa"/>
            <w:tcBorders>
              <w:top w:val="nil"/>
              <w:left w:val="nil"/>
              <w:bottom w:val="nil"/>
              <w:right w:val="nil"/>
            </w:tcBorders>
            <w:shd w:val="clear" w:color="auto" w:fill="auto"/>
            <w:noWrap/>
            <w:vAlign w:val="center"/>
            <w:hideMark/>
          </w:tcPr>
          <w:p w14:paraId="09FBE164" w14:textId="65B890D0" w:rsidR="002A4FBC" w:rsidRPr="0085125A" w:rsidRDefault="00407B44" w:rsidP="002A4FBC">
            <w:pPr>
              <w:jc w:val="both"/>
            </w:pPr>
            <w:r w:rsidRPr="0085125A">
              <w:t>-3.71108</w:t>
            </w:r>
          </w:p>
        </w:tc>
        <w:tc>
          <w:tcPr>
            <w:tcW w:w="1335" w:type="dxa"/>
            <w:tcBorders>
              <w:top w:val="nil"/>
              <w:left w:val="nil"/>
              <w:bottom w:val="nil"/>
              <w:right w:val="nil"/>
            </w:tcBorders>
            <w:shd w:val="clear" w:color="auto" w:fill="auto"/>
            <w:noWrap/>
            <w:vAlign w:val="center"/>
            <w:hideMark/>
          </w:tcPr>
          <w:p w14:paraId="1F0269BC" w14:textId="78904874" w:rsidR="002A4FBC" w:rsidRPr="0085125A" w:rsidRDefault="00407B44" w:rsidP="002A4FBC">
            <w:pPr>
              <w:jc w:val="both"/>
            </w:pPr>
            <w:r w:rsidRPr="0085125A">
              <w:t>-1.8226</w:t>
            </w:r>
          </w:p>
        </w:tc>
      </w:tr>
      <w:tr w:rsidR="002A4FBC" w:rsidRPr="0085125A" w14:paraId="5DDAB11D" w14:textId="77777777" w:rsidTr="002A4FBC">
        <w:trPr>
          <w:trHeight w:val="349"/>
        </w:trPr>
        <w:tc>
          <w:tcPr>
            <w:tcW w:w="1618" w:type="dxa"/>
            <w:tcBorders>
              <w:top w:val="nil"/>
              <w:left w:val="nil"/>
              <w:bottom w:val="nil"/>
              <w:right w:val="nil"/>
            </w:tcBorders>
            <w:shd w:val="clear" w:color="auto" w:fill="auto"/>
            <w:noWrap/>
            <w:vAlign w:val="center"/>
            <w:hideMark/>
          </w:tcPr>
          <w:p w14:paraId="037B1B1A" w14:textId="77777777" w:rsidR="002A4FBC" w:rsidRPr="0085125A" w:rsidRDefault="002A4FBC" w:rsidP="002A4FBC">
            <w:pPr>
              <w:jc w:val="both"/>
            </w:pPr>
            <w:r w:rsidRPr="0085125A">
              <w:t>2</w:t>
            </w:r>
          </w:p>
        </w:tc>
        <w:tc>
          <w:tcPr>
            <w:tcW w:w="992" w:type="dxa"/>
            <w:gridSpan w:val="2"/>
            <w:tcBorders>
              <w:top w:val="nil"/>
              <w:left w:val="nil"/>
              <w:bottom w:val="nil"/>
              <w:right w:val="nil"/>
            </w:tcBorders>
            <w:shd w:val="clear" w:color="auto" w:fill="auto"/>
            <w:noWrap/>
            <w:vAlign w:val="center"/>
            <w:hideMark/>
          </w:tcPr>
          <w:p w14:paraId="24CB7350" w14:textId="7F15AD66" w:rsidR="002A4FBC" w:rsidRPr="0085125A" w:rsidRDefault="008F0F4B" w:rsidP="002A4FBC">
            <w:pPr>
              <w:jc w:val="both"/>
            </w:pPr>
            <w:r w:rsidRPr="0085125A">
              <w:t>280.347</w:t>
            </w:r>
          </w:p>
        </w:tc>
        <w:tc>
          <w:tcPr>
            <w:tcW w:w="990" w:type="dxa"/>
            <w:gridSpan w:val="2"/>
            <w:tcBorders>
              <w:top w:val="nil"/>
              <w:left w:val="nil"/>
              <w:bottom w:val="nil"/>
              <w:right w:val="nil"/>
            </w:tcBorders>
            <w:shd w:val="clear" w:color="auto" w:fill="auto"/>
            <w:noWrap/>
            <w:vAlign w:val="center"/>
            <w:hideMark/>
          </w:tcPr>
          <w:p w14:paraId="2C1386C0" w14:textId="27E6DF66" w:rsidR="002A4FBC" w:rsidRPr="0085125A" w:rsidRDefault="008F0F4B" w:rsidP="002A4FBC">
            <w:pPr>
              <w:jc w:val="both"/>
            </w:pPr>
            <w:r w:rsidRPr="0085125A">
              <w:t>326.92</w:t>
            </w:r>
          </w:p>
        </w:tc>
        <w:tc>
          <w:tcPr>
            <w:tcW w:w="720" w:type="dxa"/>
            <w:tcBorders>
              <w:top w:val="nil"/>
              <w:left w:val="nil"/>
              <w:bottom w:val="nil"/>
              <w:right w:val="nil"/>
            </w:tcBorders>
            <w:shd w:val="clear" w:color="auto" w:fill="auto"/>
            <w:noWrap/>
            <w:vAlign w:val="center"/>
            <w:hideMark/>
          </w:tcPr>
          <w:p w14:paraId="0425408E" w14:textId="77777777" w:rsidR="002A4FBC" w:rsidRPr="0085125A" w:rsidRDefault="002A4FBC" w:rsidP="002A4FBC">
            <w:pPr>
              <w:jc w:val="both"/>
            </w:pPr>
            <w:r w:rsidRPr="0085125A">
              <w:t>49</w:t>
            </w:r>
          </w:p>
        </w:tc>
        <w:tc>
          <w:tcPr>
            <w:tcW w:w="360" w:type="dxa"/>
            <w:gridSpan w:val="2"/>
            <w:tcBorders>
              <w:top w:val="nil"/>
              <w:left w:val="nil"/>
              <w:bottom w:val="nil"/>
              <w:right w:val="nil"/>
            </w:tcBorders>
            <w:shd w:val="clear" w:color="auto" w:fill="auto"/>
            <w:noWrap/>
            <w:vAlign w:val="center"/>
            <w:hideMark/>
          </w:tcPr>
          <w:p w14:paraId="242A4208" w14:textId="77777777" w:rsidR="002A4FBC" w:rsidRPr="0085125A" w:rsidRDefault="002A4FBC" w:rsidP="002A4FBC">
            <w:pPr>
              <w:jc w:val="both"/>
            </w:pPr>
            <w:r w:rsidRPr="0085125A">
              <w:t>0</w:t>
            </w:r>
          </w:p>
        </w:tc>
        <w:tc>
          <w:tcPr>
            <w:tcW w:w="1106" w:type="dxa"/>
            <w:gridSpan w:val="2"/>
            <w:tcBorders>
              <w:top w:val="nil"/>
              <w:left w:val="nil"/>
              <w:bottom w:val="nil"/>
              <w:right w:val="nil"/>
            </w:tcBorders>
            <w:shd w:val="clear" w:color="auto" w:fill="auto"/>
            <w:noWrap/>
            <w:vAlign w:val="center"/>
            <w:hideMark/>
          </w:tcPr>
          <w:p w14:paraId="0433FA76" w14:textId="59D0F3B5" w:rsidR="002A4FBC" w:rsidRPr="0085125A" w:rsidRDefault="008F0F4B" w:rsidP="002A4FBC">
            <w:pPr>
              <w:jc w:val="both"/>
            </w:pPr>
            <w:r w:rsidRPr="0085125A">
              <w:t>1.5e</w:t>
            </w:r>
            <w:r w:rsidR="002A4FBC" w:rsidRPr="0085125A">
              <w:t>-14</w:t>
            </w:r>
          </w:p>
        </w:tc>
        <w:tc>
          <w:tcPr>
            <w:tcW w:w="1185" w:type="dxa"/>
            <w:tcBorders>
              <w:top w:val="nil"/>
              <w:left w:val="nil"/>
              <w:bottom w:val="nil"/>
              <w:right w:val="nil"/>
            </w:tcBorders>
            <w:shd w:val="clear" w:color="auto" w:fill="auto"/>
            <w:noWrap/>
            <w:vAlign w:val="center"/>
            <w:hideMark/>
          </w:tcPr>
          <w:p w14:paraId="591C3444" w14:textId="1FF60C79" w:rsidR="002A4FBC" w:rsidRPr="0085125A" w:rsidRDefault="008F0F4B" w:rsidP="002A4FBC">
            <w:pPr>
              <w:jc w:val="both"/>
            </w:pPr>
            <w:r w:rsidRPr="0085125A">
              <w:t>-12.9887</w:t>
            </w:r>
          </w:p>
        </w:tc>
        <w:tc>
          <w:tcPr>
            <w:tcW w:w="1054" w:type="dxa"/>
            <w:tcBorders>
              <w:top w:val="nil"/>
              <w:left w:val="nil"/>
              <w:bottom w:val="nil"/>
              <w:right w:val="nil"/>
            </w:tcBorders>
            <w:shd w:val="clear" w:color="auto" w:fill="auto"/>
            <w:noWrap/>
            <w:vAlign w:val="center"/>
            <w:hideMark/>
          </w:tcPr>
          <w:p w14:paraId="2A0E05C6" w14:textId="0C833418" w:rsidR="002A4FBC" w:rsidRPr="0085125A" w:rsidRDefault="008F0F4B" w:rsidP="002A4FBC">
            <w:pPr>
              <w:jc w:val="both"/>
            </w:pPr>
            <w:r w:rsidRPr="0085125A">
              <w:t>-11.4902</w:t>
            </w:r>
          </w:p>
        </w:tc>
        <w:tc>
          <w:tcPr>
            <w:tcW w:w="1335" w:type="dxa"/>
            <w:tcBorders>
              <w:top w:val="nil"/>
              <w:left w:val="nil"/>
              <w:bottom w:val="nil"/>
              <w:right w:val="nil"/>
            </w:tcBorders>
            <w:shd w:val="clear" w:color="auto" w:fill="auto"/>
            <w:noWrap/>
            <w:vAlign w:val="center"/>
            <w:hideMark/>
          </w:tcPr>
          <w:p w14:paraId="77003413" w14:textId="052320FE" w:rsidR="002A4FBC" w:rsidRPr="0085125A" w:rsidRDefault="008F0F4B" w:rsidP="002A4FBC">
            <w:pPr>
              <w:jc w:val="both"/>
            </w:pPr>
            <w:r w:rsidRPr="0085125A">
              <w:t>-7.94934</w:t>
            </w:r>
          </w:p>
        </w:tc>
      </w:tr>
      <w:tr w:rsidR="002A4FBC" w:rsidRPr="0085125A" w14:paraId="35A7A768" w14:textId="77777777" w:rsidTr="002A4FBC">
        <w:trPr>
          <w:trHeight w:val="349"/>
        </w:trPr>
        <w:tc>
          <w:tcPr>
            <w:tcW w:w="1618" w:type="dxa"/>
            <w:tcBorders>
              <w:top w:val="nil"/>
              <w:left w:val="nil"/>
              <w:bottom w:val="nil"/>
              <w:right w:val="nil"/>
            </w:tcBorders>
            <w:shd w:val="clear" w:color="auto" w:fill="auto"/>
            <w:noWrap/>
            <w:vAlign w:val="center"/>
            <w:hideMark/>
          </w:tcPr>
          <w:p w14:paraId="29C99B40" w14:textId="77777777" w:rsidR="002A4FBC" w:rsidRPr="0085125A" w:rsidRDefault="002A4FBC" w:rsidP="002A4FBC">
            <w:pPr>
              <w:jc w:val="both"/>
            </w:pPr>
            <w:r w:rsidRPr="0085125A">
              <w:t>3</w:t>
            </w:r>
          </w:p>
        </w:tc>
        <w:tc>
          <w:tcPr>
            <w:tcW w:w="992" w:type="dxa"/>
            <w:gridSpan w:val="2"/>
            <w:tcBorders>
              <w:top w:val="nil"/>
              <w:left w:val="nil"/>
              <w:bottom w:val="nil"/>
              <w:right w:val="nil"/>
            </w:tcBorders>
            <w:shd w:val="clear" w:color="auto" w:fill="auto"/>
            <w:noWrap/>
            <w:vAlign w:val="center"/>
            <w:hideMark/>
          </w:tcPr>
          <w:p w14:paraId="3655A770" w14:textId="5EF9B4D0" w:rsidR="002A4FBC" w:rsidRPr="0085125A" w:rsidRDefault="008F0F4B" w:rsidP="002A4FBC">
            <w:pPr>
              <w:jc w:val="both"/>
            </w:pPr>
            <w:r w:rsidRPr="0085125A">
              <w:t>139.95</w:t>
            </w:r>
          </w:p>
        </w:tc>
        <w:tc>
          <w:tcPr>
            <w:tcW w:w="990" w:type="dxa"/>
            <w:gridSpan w:val="2"/>
            <w:tcBorders>
              <w:top w:val="nil"/>
              <w:left w:val="nil"/>
              <w:bottom w:val="nil"/>
              <w:right w:val="nil"/>
            </w:tcBorders>
            <w:shd w:val="clear" w:color="auto" w:fill="auto"/>
            <w:noWrap/>
            <w:vAlign w:val="center"/>
            <w:hideMark/>
          </w:tcPr>
          <w:p w14:paraId="0F054E94" w14:textId="3EEC3680" w:rsidR="002A4FBC" w:rsidRPr="0085125A" w:rsidRDefault="008F0F4B" w:rsidP="002A4FBC">
            <w:pPr>
              <w:jc w:val="both"/>
            </w:pPr>
            <w:r w:rsidRPr="0085125A">
              <w:t>2231</w:t>
            </w:r>
            <w:r w:rsidR="002A4FBC" w:rsidRPr="0085125A">
              <w:t>.2</w:t>
            </w:r>
          </w:p>
        </w:tc>
        <w:tc>
          <w:tcPr>
            <w:tcW w:w="720" w:type="dxa"/>
            <w:tcBorders>
              <w:top w:val="nil"/>
              <w:left w:val="nil"/>
              <w:bottom w:val="nil"/>
              <w:right w:val="nil"/>
            </w:tcBorders>
            <w:shd w:val="clear" w:color="auto" w:fill="auto"/>
            <w:noWrap/>
            <w:vAlign w:val="center"/>
            <w:hideMark/>
          </w:tcPr>
          <w:p w14:paraId="59A443E7" w14:textId="77777777" w:rsidR="002A4FBC" w:rsidRPr="0085125A" w:rsidRDefault="002A4FBC" w:rsidP="002A4FBC">
            <w:pPr>
              <w:jc w:val="both"/>
            </w:pPr>
            <w:r w:rsidRPr="0085125A">
              <w:t>49</w:t>
            </w:r>
          </w:p>
        </w:tc>
        <w:tc>
          <w:tcPr>
            <w:tcW w:w="360" w:type="dxa"/>
            <w:gridSpan w:val="2"/>
            <w:tcBorders>
              <w:top w:val="nil"/>
              <w:left w:val="nil"/>
              <w:bottom w:val="nil"/>
              <w:right w:val="nil"/>
            </w:tcBorders>
            <w:shd w:val="clear" w:color="auto" w:fill="auto"/>
            <w:noWrap/>
            <w:vAlign w:val="center"/>
            <w:hideMark/>
          </w:tcPr>
          <w:p w14:paraId="0DCDE158" w14:textId="77777777" w:rsidR="002A4FBC" w:rsidRPr="0085125A" w:rsidRDefault="002A4FBC" w:rsidP="002A4FBC">
            <w:pPr>
              <w:jc w:val="both"/>
            </w:pPr>
            <w:r w:rsidRPr="0085125A">
              <w:t>0</w:t>
            </w:r>
          </w:p>
        </w:tc>
        <w:tc>
          <w:tcPr>
            <w:tcW w:w="1106" w:type="dxa"/>
            <w:gridSpan w:val="2"/>
            <w:tcBorders>
              <w:top w:val="nil"/>
              <w:left w:val="nil"/>
              <w:bottom w:val="nil"/>
              <w:right w:val="nil"/>
            </w:tcBorders>
            <w:shd w:val="clear" w:color="auto" w:fill="auto"/>
            <w:noWrap/>
            <w:vAlign w:val="center"/>
            <w:hideMark/>
          </w:tcPr>
          <w:p w14:paraId="2E4A9A14" w14:textId="67722BAC" w:rsidR="002A4FBC" w:rsidRPr="0085125A" w:rsidRDefault="008F0F4B" w:rsidP="002A4FBC">
            <w:pPr>
              <w:jc w:val="both"/>
            </w:pPr>
            <w:r w:rsidRPr="0085125A">
              <w:t>2.5e-47</w:t>
            </w:r>
            <w:r w:rsidR="002A4FBC" w:rsidRPr="0085125A">
              <w:t>*</w:t>
            </w:r>
          </w:p>
        </w:tc>
        <w:tc>
          <w:tcPr>
            <w:tcW w:w="1185" w:type="dxa"/>
            <w:tcBorders>
              <w:top w:val="nil"/>
              <w:left w:val="nil"/>
              <w:bottom w:val="nil"/>
              <w:right w:val="nil"/>
            </w:tcBorders>
            <w:shd w:val="clear" w:color="auto" w:fill="auto"/>
            <w:noWrap/>
            <w:vAlign w:val="center"/>
            <w:hideMark/>
          </w:tcPr>
          <w:p w14:paraId="7F05B213" w14:textId="509BD4E1" w:rsidR="002A4FBC" w:rsidRPr="0085125A" w:rsidRDefault="008F0F4B" w:rsidP="002A4FBC">
            <w:pPr>
              <w:jc w:val="both"/>
            </w:pPr>
            <w:r w:rsidRPr="0085125A">
              <w:t>-91.9965</w:t>
            </w:r>
          </w:p>
        </w:tc>
        <w:tc>
          <w:tcPr>
            <w:tcW w:w="1054" w:type="dxa"/>
            <w:tcBorders>
              <w:top w:val="nil"/>
              <w:left w:val="nil"/>
              <w:bottom w:val="nil"/>
              <w:right w:val="nil"/>
            </w:tcBorders>
            <w:shd w:val="clear" w:color="auto" w:fill="auto"/>
            <w:noWrap/>
            <w:vAlign w:val="center"/>
            <w:hideMark/>
          </w:tcPr>
          <w:p w14:paraId="188D87AE" w14:textId="690F333B" w:rsidR="002A4FBC" w:rsidRPr="0085125A" w:rsidRDefault="008F0F4B" w:rsidP="002A4FBC">
            <w:pPr>
              <w:jc w:val="both"/>
            </w:pPr>
            <w:r w:rsidRPr="0085125A">
              <w:t>-89.7987</w:t>
            </w:r>
          </w:p>
        </w:tc>
        <w:tc>
          <w:tcPr>
            <w:tcW w:w="1335" w:type="dxa"/>
            <w:tcBorders>
              <w:top w:val="nil"/>
              <w:left w:val="nil"/>
              <w:bottom w:val="nil"/>
              <w:right w:val="nil"/>
            </w:tcBorders>
            <w:shd w:val="clear" w:color="auto" w:fill="auto"/>
            <w:noWrap/>
            <w:vAlign w:val="center"/>
            <w:hideMark/>
          </w:tcPr>
          <w:p w14:paraId="089ACC98" w14:textId="560C2074" w:rsidR="002A4FBC" w:rsidRPr="0085125A" w:rsidRDefault="008F0F4B" w:rsidP="002A4FBC">
            <w:pPr>
              <w:jc w:val="both"/>
            </w:pPr>
            <w:r w:rsidRPr="0085125A">
              <w:t>-84.6054</w:t>
            </w:r>
          </w:p>
        </w:tc>
      </w:tr>
      <w:tr w:rsidR="002A4FBC" w:rsidRPr="0085125A" w14:paraId="4871873D" w14:textId="77777777" w:rsidTr="002A4FBC">
        <w:trPr>
          <w:trHeight w:val="349"/>
        </w:trPr>
        <w:tc>
          <w:tcPr>
            <w:tcW w:w="1618" w:type="dxa"/>
            <w:tcBorders>
              <w:top w:val="nil"/>
              <w:left w:val="nil"/>
              <w:bottom w:val="single" w:sz="4" w:space="0" w:color="auto"/>
              <w:right w:val="nil"/>
            </w:tcBorders>
            <w:shd w:val="clear" w:color="auto" w:fill="auto"/>
            <w:noWrap/>
            <w:vAlign w:val="center"/>
            <w:hideMark/>
          </w:tcPr>
          <w:p w14:paraId="7BCDFF7E" w14:textId="77777777" w:rsidR="002A4FBC" w:rsidRPr="0085125A" w:rsidRDefault="002A4FBC" w:rsidP="002A4FBC">
            <w:pPr>
              <w:jc w:val="both"/>
            </w:pPr>
            <w:r w:rsidRPr="0085125A">
              <w:t>4</w:t>
            </w:r>
          </w:p>
        </w:tc>
        <w:tc>
          <w:tcPr>
            <w:tcW w:w="992" w:type="dxa"/>
            <w:gridSpan w:val="2"/>
            <w:tcBorders>
              <w:top w:val="nil"/>
              <w:left w:val="nil"/>
              <w:bottom w:val="single" w:sz="4" w:space="0" w:color="auto"/>
              <w:right w:val="nil"/>
            </w:tcBorders>
            <w:shd w:val="clear" w:color="auto" w:fill="auto"/>
            <w:noWrap/>
            <w:vAlign w:val="center"/>
            <w:hideMark/>
          </w:tcPr>
          <w:p w14:paraId="28CF8640" w14:textId="67C577F5" w:rsidR="002A4FBC" w:rsidRPr="0085125A" w:rsidRDefault="008F0F4B" w:rsidP="002A4FBC">
            <w:pPr>
              <w:jc w:val="both"/>
            </w:pPr>
            <w:r w:rsidRPr="0085125A">
              <w:t>5247.7</w:t>
            </w:r>
          </w:p>
        </w:tc>
        <w:tc>
          <w:tcPr>
            <w:tcW w:w="990" w:type="dxa"/>
            <w:gridSpan w:val="2"/>
            <w:tcBorders>
              <w:top w:val="nil"/>
              <w:left w:val="nil"/>
              <w:bottom w:val="single" w:sz="4" w:space="0" w:color="auto"/>
              <w:right w:val="nil"/>
            </w:tcBorders>
            <w:shd w:val="clear" w:color="auto" w:fill="auto"/>
            <w:noWrap/>
            <w:vAlign w:val="center"/>
            <w:hideMark/>
          </w:tcPr>
          <w:p w14:paraId="3C5E1A4B" w14:textId="64964214" w:rsidR="002A4FBC" w:rsidRPr="0085125A" w:rsidRDefault="008F0F4B" w:rsidP="002A4FBC">
            <w:pPr>
              <w:jc w:val="both"/>
            </w:pPr>
            <w:r w:rsidRPr="0085125A">
              <w:t>7703.5</w:t>
            </w:r>
            <w:r w:rsidR="002A4FBC" w:rsidRPr="0085125A">
              <w:t>*</w:t>
            </w:r>
          </w:p>
        </w:tc>
        <w:tc>
          <w:tcPr>
            <w:tcW w:w="720" w:type="dxa"/>
            <w:tcBorders>
              <w:top w:val="nil"/>
              <w:left w:val="nil"/>
              <w:bottom w:val="single" w:sz="4" w:space="0" w:color="auto"/>
              <w:right w:val="nil"/>
            </w:tcBorders>
            <w:shd w:val="clear" w:color="auto" w:fill="auto"/>
            <w:noWrap/>
            <w:vAlign w:val="center"/>
            <w:hideMark/>
          </w:tcPr>
          <w:p w14:paraId="01238F4F" w14:textId="77777777" w:rsidR="002A4FBC" w:rsidRPr="0085125A" w:rsidRDefault="002A4FBC" w:rsidP="002A4FBC">
            <w:pPr>
              <w:jc w:val="both"/>
            </w:pPr>
            <w:r w:rsidRPr="0085125A">
              <w:t>49</w:t>
            </w:r>
          </w:p>
        </w:tc>
        <w:tc>
          <w:tcPr>
            <w:tcW w:w="360" w:type="dxa"/>
            <w:gridSpan w:val="2"/>
            <w:tcBorders>
              <w:top w:val="nil"/>
              <w:left w:val="nil"/>
              <w:bottom w:val="single" w:sz="4" w:space="0" w:color="auto"/>
              <w:right w:val="nil"/>
            </w:tcBorders>
            <w:shd w:val="clear" w:color="auto" w:fill="auto"/>
            <w:noWrap/>
            <w:vAlign w:val="center"/>
            <w:hideMark/>
          </w:tcPr>
          <w:p w14:paraId="4C3D77EE" w14:textId="77777777" w:rsidR="002A4FBC" w:rsidRPr="0085125A" w:rsidRDefault="002A4FBC" w:rsidP="002A4FBC">
            <w:pPr>
              <w:jc w:val="both"/>
            </w:pPr>
            <w:r w:rsidRPr="0085125A">
              <w:t>0</w:t>
            </w:r>
          </w:p>
        </w:tc>
        <w:tc>
          <w:tcPr>
            <w:tcW w:w="1106" w:type="dxa"/>
            <w:gridSpan w:val="2"/>
            <w:tcBorders>
              <w:top w:val="nil"/>
              <w:left w:val="nil"/>
              <w:bottom w:val="single" w:sz="4" w:space="0" w:color="auto"/>
              <w:right w:val="nil"/>
            </w:tcBorders>
            <w:shd w:val="clear" w:color="auto" w:fill="auto"/>
            <w:noWrap/>
            <w:vAlign w:val="center"/>
            <w:hideMark/>
          </w:tcPr>
          <w:p w14:paraId="6D2EC212" w14:textId="77777777" w:rsidR="002A4FBC" w:rsidRPr="0085125A" w:rsidRDefault="002A4FBC" w:rsidP="002A4FBC">
            <w:pPr>
              <w:jc w:val="both"/>
            </w:pPr>
            <w:r w:rsidRPr="0085125A">
              <w:t>-</w:t>
            </w:r>
          </w:p>
        </w:tc>
        <w:tc>
          <w:tcPr>
            <w:tcW w:w="1185" w:type="dxa"/>
            <w:tcBorders>
              <w:top w:val="nil"/>
              <w:left w:val="nil"/>
              <w:bottom w:val="single" w:sz="4" w:space="0" w:color="auto"/>
              <w:right w:val="nil"/>
            </w:tcBorders>
            <w:shd w:val="clear" w:color="auto" w:fill="auto"/>
            <w:noWrap/>
            <w:vAlign w:val="center"/>
            <w:hideMark/>
          </w:tcPr>
          <w:p w14:paraId="35D82553" w14:textId="6FFFEAF3" w:rsidR="002A4FBC" w:rsidRPr="0085125A" w:rsidRDefault="004D2DE8" w:rsidP="002A4FBC">
            <w:pPr>
              <w:jc w:val="both"/>
            </w:pPr>
            <w:r>
              <w:t xml:space="preserve">       </w:t>
            </w:r>
            <w:r w:rsidR="008F0F4B" w:rsidRPr="0085125A">
              <w:t>-374.718</w:t>
            </w:r>
            <w:r w:rsidR="002A4FBC" w:rsidRPr="0085125A">
              <w:t>*</w:t>
            </w:r>
          </w:p>
        </w:tc>
        <w:tc>
          <w:tcPr>
            <w:tcW w:w="1054" w:type="dxa"/>
            <w:tcBorders>
              <w:top w:val="nil"/>
              <w:left w:val="nil"/>
              <w:bottom w:val="single" w:sz="4" w:space="0" w:color="auto"/>
              <w:right w:val="nil"/>
            </w:tcBorders>
            <w:shd w:val="clear" w:color="auto" w:fill="auto"/>
            <w:noWrap/>
            <w:vAlign w:val="center"/>
            <w:hideMark/>
          </w:tcPr>
          <w:p w14:paraId="401CB380" w14:textId="45DE03AB" w:rsidR="002A4FBC" w:rsidRPr="0085125A" w:rsidRDefault="004D2DE8" w:rsidP="002A4FBC">
            <w:pPr>
              <w:jc w:val="both"/>
            </w:pPr>
            <w:r>
              <w:t xml:space="preserve">      </w:t>
            </w:r>
            <w:r w:rsidR="008F0F4B" w:rsidRPr="0085125A">
              <w:t>-372.02</w:t>
            </w:r>
            <w:r w:rsidR="002A4FBC" w:rsidRPr="0085125A">
              <w:t>*</w:t>
            </w:r>
          </w:p>
        </w:tc>
        <w:tc>
          <w:tcPr>
            <w:tcW w:w="1335" w:type="dxa"/>
            <w:tcBorders>
              <w:top w:val="nil"/>
              <w:left w:val="nil"/>
              <w:bottom w:val="single" w:sz="4" w:space="0" w:color="auto"/>
              <w:right w:val="nil"/>
            </w:tcBorders>
            <w:shd w:val="clear" w:color="auto" w:fill="auto"/>
            <w:noWrap/>
            <w:vAlign w:val="center"/>
            <w:hideMark/>
          </w:tcPr>
          <w:p w14:paraId="281F00E1" w14:textId="2967C412" w:rsidR="002A4FBC" w:rsidRPr="0085125A" w:rsidRDefault="008F0F4B" w:rsidP="002A4FBC">
            <w:pPr>
              <w:jc w:val="both"/>
            </w:pPr>
            <w:r w:rsidRPr="0085125A">
              <w:t>-365.648</w:t>
            </w:r>
            <w:r w:rsidR="002A4FBC" w:rsidRPr="0085125A">
              <w:t>*</w:t>
            </w:r>
          </w:p>
        </w:tc>
      </w:tr>
    </w:tbl>
    <w:p w14:paraId="465DFE49" w14:textId="7ED43605" w:rsidR="002A4FBC" w:rsidRPr="0085125A" w:rsidRDefault="002A4FBC" w:rsidP="002A4FBC">
      <w:pPr>
        <w:spacing w:after="200" w:line="360" w:lineRule="auto"/>
        <w:jc w:val="both"/>
      </w:pPr>
      <w:r w:rsidRPr="0085125A">
        <w:t>Table</w:t>
      </w:r>
      <w:r w:rsidR="00A97126">
        <w:t xml:space="preserve"> </w:t>
      </w:r>
      <w:r w:rsidRPr="0085125A">
        <w:t>7</w:t>
      </w:r>
      <w:r w:rsidR="00A97126">
        <w:t>: The</w:t>
      </w:r>
      <w:r w:rsidRPr="0085125A">
        <w:t xml:space="preserve"> Number of Lags Selected</w:t>
      </w:r>
      <w:bookmarkEnd w:id="19"/>
    </w:p>
    <w:p w14:paraId="1EF1092B" w14:textId="77777777" w:rsidR="002A4FBC" w:rsidRPr="0085125A" w:rsidRDefault="002A4FBC" w:rsidP="002A4FBC">
      <w:pPr>
        <w:spacing w:after="200" w:line="360" w:lineRule="auto"/>
        <w:jc w:val="both"/>
        <w:rPr>
          <w:sz w:val="20"/>
          <w:szCs w:val="20"/>
        </w:rPr>
      </w:pPr>
      <w:r w:rsidRPr="0085125A">
        <w:rPr>
          <w:b/>
          <w:sz w:val="20"/>
          <w:szCs w:val="20"/>
        </w:rPr>
        <w:t>Notes:</w:t>
      </w:r>
      <w:r w:rsidRPr="0085125A">
        <w:rPr>
          <w:sz w:val="20"/>
          <w:szCs w:val="20"/>
        </w:rPr>
        <w:t xml:space="preserve"> Endogenous: Total final energy Consumption. Exogenous: foreign direct investment (FDI%GDP), industrial growth, population growth, GDP per capita, Urbanization, and Trade openness. LL = The log likelihood, LR = Likelihood-ratio, df = degree of freedom, P = probability, FPE = The final prediction error, AIC = Aikaike Information Criterion, HQIC=Hannan criterion, SBIC: Bayesian Information Criteria. * indicates significant at the 1% level.</w:t>
      </w:r>
    </w:p>
    <w:p w14:paraId="1FF97783" w14:textId="063C1E38" w:rsidR="002A4FBC" w:rsidRPr="0085125A" w:rsidRDefault="002A4FBC" w:rsidP="002A4FBC">
      <w:pPr>
        <w:spacing w:after="200" w:line="360" w:lineRule="auto"/>
        <w:jc w:val="both"/>
      </w:pPr>
      <w:r w:rsidRPr="0085125A">
        <w:t xml:space="preserve">To address the sample's limitation, this study uses the FPE criteria to determine the best appropriate lag for the model as suggested </w:t>
      </w:r>
      <w:r w:rsidR="00A97126" w:rsidRPr="0085125A">
        <w:t>by Venus</w:t>
      </w:r>
      <w:r w:rsidRPr="0085125A">
        <w:t xml:space="preserve"> Khim−Sen (2004) for small samples (i.e 60 observations and below), Akaike's information criterion (AIC) and final prediction error (FPE) perform better than the other criteria being considered. Accordingly, the results in table 7 show that the optimal lag selected is three (3) based on FPE Tests. This indicates that macroeconomics variables and total final energy consumption are explained in three lags. </w:t>
      </w:r>
    </w:p>
    <w:p w14:paraId="406A9B9B" w14:textId="77777777" w:rsidR="002A4FBC" w:rsidRPr="0085125A" w:rsidRDefault="002A4FBC" w:rsidP="002A4FBC">
      <w:pPr>
        <w:keepNext/>
        <w:keepLines/>
        <w:spacing w:before="40" w:line="360" w:lineRule="auto"/>
        <w:jc w:val="both"/>
        <w:outlineLvl w:val="1"/>
        <w:rPr>
          <w:rFonts w:eastAsiaTheme="majorEastAsia"/>
          <w:i/>
          <w:iCs/>
        </w:rPr>
      </w:pPr>
      <w:bookmarkStart w:id="20" w:name="_Toc87879551"/>
      <w:bookmarkStart w:id="21" w:name="_Toc87879724"/>
      <w:r w:rsidRPr="0085125A">
        <w:rPr>
          <w:rFonts w:eastAsiaTheme="majorEastAsia"/>
          <w:b/>
        </w:rPr>
        <w:t xml:space="preserve">4.4. ARDL bound test </w:t>
      </w:r>
      <w:r w:rsidRPr="0085125A">
        <w:rPr>
          <w:rFonts w:eastAsiaTheme="majorEastAsia"/>
          <w:b/>
          <w:i/>
          <w:iCs/>
        </w:rPr>
        <w:t>Cointegration Results</w:t>
      </w:r>
      <w:bookmarkEnd w:id="20"/>
      <w:bookmarkEnd w:id="21"/>
    </w:p>
    <w:p w14:paraId="3DE6EA62" w14:textId="28D1DC01" w:rsidR="002A4FBC" w:rsidRPr="00E74F08" w:rsidRDefault="002A4FBC" w:rsidP="002A4FBC">
      <w:pPr>
        <w:spacing w:after="200" w:line="360" w:lineRule="auto"/>
        <w:jc w:val="both"/>
      </w:pPr>
      <w:r w:rsidRPr="0085125A">
        <w:t>The ARDL bound test of cointegration is used to analyze the long-run relationship between the variables in Equations (6) and (7) after validating the unit root properties of the variables. More so,</w:t>
      </w:r>
      <w:r w:rsidR="0085125A">
        <w:t xml:space="preserve"> </w:t>
      </w:r>
      <w:r w:rsidRPr="0085125A">
        <w:t xml:space="preserve">the </w:t>
      </w:r>
      <w:r w:rsidR="0085125A">
        <w:t>study uses FPE criteria to locate the optimal fitting lag for ARDL model to solve the sample’s limitation and the optimal lag selected is three based on FPE Tests.</w:t>
      </w:r>
      <w:r w:rsidR="00E74F08">
        <w:t xml:space="preserve"> </w:t>
      </w:r>
      <w:r w:rsidR="0085125A">
        <w:t>Enders</w:t>
      </w:r>
      <w:r w:rsidR="00E74F08">
        <w:t xml:space="preserve"> </w:t>
      </w:r>
      <w:r w:rsidR="0085125A">
        <w:t xml:space="preserve">(2004) claims that for yearly data analysis, the system’s dynamics can be captured with an optimum lag order of </w:t>
      </w:r>
      <w:r w:rsidR="0085125A">
        <w:lastRenderedPageBreak/>
        <w:t>three years</w:t>
      </w:r>
      <w:r w:rsidR="00E74F08">
        <w:t xml:space="preserve">. Therefore, The ARDL –bound testing approach is used to describe the cointegration relationship between total final energy consumption and </w:t>
      </w:r>
      <w:r w:rsidR="004D2DE8">
        <w:t xml:space="preserve">the control </w:t>
      </w:r>
      <w:r w:rsidR="00E74F08">
        <w:t>variables.</w:t>
      </w:r>
      <w:r w:rsidR="004D2DE8">
        <w:t xml:space="preserve"> </w:t>
      </w:r>
      <w:r w:rsidR="00FA28B9">
        <w:t>(Persan et al. 2001) recognize the value of critical bounds for both small and big samples</w:t>
      </w:r>
      <w:r w:rsidR="00A5271C">
        <w:t xml:space="preserve">. </w:t>
      </w:r>
      <w:r w:rsidRPr="0085125A">
        <w:br/>
      </w:r>
      <w:bookmarkStart w:id="22" w:name="_Toc87452370"/>
      <w:r w:rsidR="004D2DE8">
        <w:rPr>
          <w:b/>
        </w:rPr>
        <w:t xml:space="preserve">Table 9: Showing the </w:t>
      </w:r>
      <w:r w:rsidRPr="0085125A">
        <w:rPr>
          <w:b/>
        </w:rPr>
        <w:t>Results of ARDL the bounds test of cointegration</w:t>
      </w:r>
      <w:bookmarkEnd w:id="22"/>
      <w:r w:rsidRPr="0085125A">
        <w:rPr>
          <w:b/>
        </w:rPr>
        <w:t xml:space="preserve"> </w:t>
      </w:r>
    </w:p>
    <w:tbl>
      <w:tblPr>
        <w:tblW w:w="9540" w:type="dxa"/>
        <w:tblLook w:val="04A0" w:firstRow="1" w:lastRow="0" w:firstColumn="1" w:lastColumn="0" w:noHBand="0" w:noVBand="1"/>
      </w:tblPr>
      <w:tblGrid>
        <w:gridCol w:w="2600"/>
        <w:gridCol w:w="4160"/>
        <w:gridCol w:w="2780"/>
      </w:tblGrid>
      <w:tr w:rsidR="002A4FBC" w:rsidRPr="0085125A" w14:paraId="0BE21057" w14:textId="77777777" w:rsidTr="002A4FBC">
        <w:trPr>
          <w:trHeight w:val="315"/>
        </w:trPr>
        <w:tc>
          <w:tcPr>
            <w:tcW w:w="2600" w:type="dxa"/>
            <w:tcBorders>
              <w:top w:val="single" w:sz="4" w:space="0" w:color="auto"/>
              <w:left w:val="nil"/>
              <w:bottom w:val="single" w:sz="4" w:space="0" w:color="auto"/>
              <w:right w:val="nil"/>
            </w:tcBorders>
            <w:shd w:val="clear" w:color="auto" w:fill="auto"/>
            <w:noWrap/>
            <w:vAlign w:val="bottom"/>
            <w:hideMark/>
          </w:tcPr>
          <w:p w14:paraId="5EBA9328" w14:textId="77777777" w:rsidR="002A4FBC" w:rsidRPr="0085125A" w:rsidRDefault="002A4FBC" w:rsidP="002A4FBC">
            <w:pPr>
              <w:jc w:val="both"/>
            </w:pPr>
            <w:r w:rsidRPr="0085125A">
              <w:t>Model</w:t>
            </w:r>
          </w:p>
        </w:tc>
        <w:tc>
          <w:tcPr>
            <w:tcW w:w="6940" w:type="dxa"/>
            <w:gridSpan w:val="2"/>
            <w:tcBorders>
              <w:top w:val="single" w:sz="4" w:space="0" w:color="auto"/>
              <w:left w:val="nil"/>
              <w:bottom w:val="single" w:sz="4" w:space="0" w:color="auto"/>
              <w:right w:val="nil"/>
            </w:tcBorders>
            <w:shd w:val="clear" w:color="auto" w:fill="auto"/>
            <w:noWrap/>
            <w:vAlign w:val="bottom"/>
            <w:hideMark/>
          </w:tcPr>
          <w:p w14:paraId="36AC5267" w14:textId="41B0F909" w:rsidR="002A4FBC" w:rsidRPr="0085125A" w:rsidRDefault="002A4FBC" w:rsidP="002A4FBC">
            <w:pPr>
              <w:jc w:val="both"/>
            </w:pPr>
            <w:r w:rsidRPr="0085125A">
              <w:t>TFEC=</w:t>
            </w:r>
            <w:r w:rsidR="00817877" w:rsidRPr="0085125A">
              <w:t>∫(GDPPC,INDUS, ,FDI,POP,URB,TOT</w:t>
            </w:r>
            <w:r w:rsidRPr="0085125A">
              <w:t>)</w:t>
            </w:r>
          </w:p>
        </w:tc>
      </w:tr>
      <w:tr w:rsidR="002A4FBC" w:rsidRPr="0085125A" w14:paraId="006A8603" w14:textId="77777777" w:rsidTr="002A4FBC">
        <w:trPr>
          <w:trHeight w:val="300"/>
        </w:trPr>
        <w:tc>
          <w:tcPr>
            <w:tcW w:w="2600" w:type="dxa"/>
            <w:tcBorders>
              <w:top w:val="nil"/>
              <w:left w:val="nil"/>
              <w:bottom w:val="nil"/>
              <w:right w:val="nil"/>
            </w:tcBorders>
            <w:shd w:val="clear" w:color="auto" w:fill="auto"/>
            <w:noWrap/>
            <w:vAlign w:val="bottom"/>
            <w:hideMark/>
          </w:tcPr>
          <w:p w14:paraId="7A9981B0" w14:textId="77777777" w:rsidR="002A4FBC" w:rsidRPr="0085125A" w:rsidRDefault="002A4FBC" w:rsidP="002A4FBC">
            <w:pPr>
              <w:jc w:val="both"/>
            </w:pPr>
            <w:r w:rsidRPr="0085125A">
              <w:t>Optimum lag structure</w:t>
            </w:r>
          </w:p>
        </w:tc>
        <w:tc>
          <w:tcPr>
            <w:tcW w:w="4160" w:type="dxa"/>
            <w:tcBorders>
              <w:top w:val="nil"/>
              <w:left w:val="nil"/>
              <w:bottom w:val="nil"/>
              <w:right w:val="nil"/>
            </w:tcBorders>
            <w:shd w:val="clear" w:color="auto" w:fill="auto"/>
            <w:noWrap/>
            <w:vAlign w:val="bottom"/>
            <w:hideMark/>
          </w:tcPr>
          <w:p w14:paraId="6E1143F5" w14:textId="66879183" w:rsidR="002A4FBC" w:rsidRPr="0085125A" w:rsidRDefault="00D6357F" w:rsidP="002A4FBC">
            <w:pPr>
              <w:jc w:val="both"/>
            </w:pPr>
            <w:r w:rsidRPr="0085125A">
              <w:t>3 3 2 3  3 1    3</w:t>
            </w:r>
          </w:p>
        </w:tc>
        <w:tc>
          <w:tcPr>
            <w:tcW w:w="2780" w:type="dxa"/>
            <w:tcBorders>
              <w:top w:val="nil"/>
              <w:left w:val="nil"/>
              <w:bottom w:val="nil"/>
              <w:right w:val="nil"/>
            </w:tcBorders>
            <w:shd w:val="clear" w:color="auto" w:fill="auto"/>
            <w:noWrap/>
            <w:vAlign w:val="bottom"/>
            <w:hideMark/>
          </w:tcPr>
          <w:p w14:paraId="2768F422" w14:textId="77777777" w:rsidR="002A4FBC" w:rsidRPr="0085125A" w:rsidRDefault="002A4FBC" w:rsidP="002A4FBC">
            <w:pPr>
              <w:jc w:val="both"/>
            </w:pPr>
          </w:p>
        </w:tc>
      </w:tr>
      <w:tr w:rsidR="002A4FBC" w:rsidRPr="0085125A" w14:paraId="3A6A281C" w14:textId="77777777" w:rsidTr="002A4FBC">
        <w:trPr>
          <w:trHeight w:val="300"/>
        </w:trPr>
        <w:tc>
          <w:tcPr>
            <w:tcW w:w="2600" w:type="dxa"/>
            <w:tcBorders>
              <w:top w:val="nil"/>
              <w:left w:val="nil"/>
              <w:bottom w:val="nil"/>
              <w:right w:val="nil"/>
            </w:tcBorders>
            <w:shd w:val="clear" w:color="auto" w:fill="auto"/>
            <w:noWrap/>
            <w:vAlign w:val="bottom"/>
            <w:hideMark/>
          </w:tcPr>
          <w:p w14:paraId="11A3C369" w14:textId="77777777" w:rsidR="002A4FBC" w:rsidRPr="0085125A" w:rsidRDefault="002A4FBC" w:rsidP="002A4FBC">
            <w:pPr>
              <w:jc w:val="both"/>
            </w:pPr>
            <w:r w:rsidRPr="0085125A">
              <w:t>F statistics</w:t>
            </w:r>
          </w:p>
        </w:tc>
        <w:tc>
          <w:tcPr>
            <w:tcW w:w="4160" w:type="dxa"/>
            <w:tcBorders>
              <w:top w:val="nil"/>
              <w:left w:val="nil"/>
              <w:bottom w:val="nil"/>
              <w:right w:val="nil"/>
            </w:tcBorders>
            <w:shd w:val="clear" w:color="auto" w:fill="auto"/>
            <w:noWrap/>
            <w:vAlign w:val="bottom"/>
            <w:hideMark/>
          </w:tcPr>
          <w:p w14:paraId="528C4DF7" w14:textId="507002F8" w:rsidR="002A4FBC" w:rsidRPr="0085125A" w:rsidRDefault="00817877" w:rsidP="002A4FBC">
            <w:pPr>
              <w:jc w:val="both"/>
            </w:pPr>
            <w:r w:rsidRPr="0085125A">
              <w:t>337.092</w:t>
            </w:r>
          </w:p>
        </w:tc>
        <w:tc>
          <w:tcPr>
            <w:tcW w:w="2780" w:type="dxa"/>
            <w:tcBorders>
              <w:top w:val="nil"/>
              <w:left w:val="nil"/>
              <w:bottom w:val="nil"/>
              <w:right w:val="nil"/>
            </w:tcBorders>
            <w:shd w:val="clear" w:color="auto" w:fill="auto"/>
            <w:noWrap/>
            <w:vAlign w:val="bottom"/>
            <w:hideMark/>
          </w:tcPr>
          <w:p w14:paraId="6B97D242" w14:textId="77777777" w:rsidR="002A4FBC" w:rsidRPr="0085125A" w:rsidRDefault="002A4FBC" w:rsidP="002A4FBC">
            <w:pPr>
              <w:jc w:val="both"/>
            </w:pPr>
          </w:p>
        </w:tc>
      </w:tr>
      <w:tr w:rsidR="002A4FBC" w:rsidRPr="0085125A" w14:paraId="240CFFC5" w14:textId="77777777" w:rsidTr="002A4FBC">
        <w:trPr>
          <w:trHeight w:val="300"/>
        </w:trPr>
        <w:tc>
          <w:tcPr>
            <w:tcW w:w="2600" w:type="dxa"/>
            <w:tcBorders>
              <w:top w:val="nil"/>
              <w:left w:val="nil"/>
              <w:bottom w:val="nil"/>
              <w:right w:val="nil"/>
            </w:tcBorders>
            <w:shd w:val="clear" w:color="auto" w:fill="auto"/>
            <w:noWrap/>
            <w:vAlign w:val="bottom"/>
            <w:hideMark/>
          </w:tcPr>
          <w:p w14:paraId="15919703" w14:textId="77777777" w:rsidR="002A4FBC" w:rsidRPr="0085125A" w:rsidRDefault="002A4FBC" w:rsidP="002A4FBC">
            <w:pPr>
              <w:jc w:val="both"/>
            </w:pPr>
            <w:r w:rsidRPr="0085125A">
              <w:t>Critical Values</w:t>
            </w:r>
          </w:p>
        </w:tc>
        <w:tc>
          <w:tcPr>
            <w:tcW w:w="4160" w:type="dxa"/>
            <w:tcBorders>
              <w:top w:val="nil"/>
              <w:left w:val="nil"/>
              <w:bottom w:val="nil"/>
              <w:right w:val="nil"/>
            </w:tcBorders>
            <w:shd w:val="clear" w:color="auto" w:fill="auto"/>
            <w:noWrap/>
            <w:vAlign w:val="bottom"/>
            <w:hideMark/>
          </w:tcPr>
          <w:p w14:paraId="0D5B0398" w14:textId="77777777" w:rsidR="002A4FBC" w:rsidRPr="0085125A" w:rsidRDefault="002A4FBC" w:rsidP="002A4FBC">
            <w:pPr>
              <w:jc w:val="both"/>
            </w:pPr>
            <w:r w:rsidRPr="0085125A">
              <w:t>1%</w:t>
            </w:r>
          </w:p>
        </w:tc>
        <w:tc>
          <w:tcPr>
            <w:tcW w:w="2780" w:type="dxa"/>
            <w:tcBorders>
              <w:top w:val="nil"/>
              <w:left w:val="nil"/>
              <w:bottom w:val="nil"/>
              <w:right w:val="nil"/>
            </w:tcBorders>
            <w:shd w:val="clear" w:color="auto" w:fill="auto"/>
            <w:noWrap/>
            <w:vAlign w:val="bottom"/>
            <w:hideMark/>
          </w:tcPr>
          <w:p w14:paraId="77A585DA" w14:textId="77777777" w:rsidR="002A4FBC" w:rsidRPr="0085125A" w:rsidRDefault="002A4FBC" w:rsidP="002A4FBC">
            <w:pPr>
              <w:jc w:val="both"/>
            </w:pPr>
          </w:p>
        </w:tc>
      </w:tr>
      <w:tr w:rsidR="002A4FBC" w:rsidRPr="0085125A" w14:paraId="428143A7" w14:textId="77777777" w:rsidTr="002A4FBC">
        <w:trPr>
          <w:trHeight w:val="300"/>
        </w:trPr>
        <w:tc>
          <w:tcPr>
            <w:tcW w:w="2600" w:type="dxa"/>
            <w:tcBorders>
              <w:top w:val="nil"/>
              <w:left w:val="nil"/>
              <w:bottom w:val="nil"/>
              <w:right w:val="nil"/>
            </w:tcBorders>
            <w:shd w:val="clear" w:color="auto" w:fill="auto"/>
            <w:noWrap/>
            <w:vAlign w:val="bottom"/>
            <w:hideMark/>
          </w:tcPr>
          <w:p w14:paraId="21BD00E9" w14:textId="77777777" w:rsidR="002A4FBC" w:rsidRPr="0085125A" w:rsidRDefault="002A4FBC" w:rsidP="002A4FBC">
            <w:pPr>
              <w:jc w:val="both"/>
            </w:pPr>
            <w:r w:rsidRPr="0085125A">
              <w:t>Lower Bounds I(0)</w:t>
            </w:r>
          </w:p>
        </w:tc>
        <w:tc>
          <w:tcPr>
            <w:tcW w:w="4160" w:type="dxa"/>
            <w:tcBorders>
              <w:top w:val="nil"/>
              <w:left w:val="nil"/>
              <w:bottom w:val="nil"/>
              <w:right w:val="nil"/>
            </w:tcBorders>
            <w:shd w:val="clear" w:color="auto" w:fill="auto"/>
            <w:noWrap/>
            <w:vAlign w:val="bottom"/>
            <w:hideMark/>
          </w:tcPr>
          <w:p w14:paraId="6AD8A40A" w14:textId="56ECC620" w:rsidR="002A4FBC" w:rsidRPr="0085125A" w:rsidRDefault="00817877" w:rsidP="002A4FBC">
            <w:pPr>
              <w:jc w:val="both"/>
            </w:pPr>
            <w:r w:rsidRPr="0085125A">
              <w:t>3.15</w:t>
            </w:r>
          </w:p>
        </w:tc>
        <w:tc>
          <w:tcPr>
            <w:tcW w:w="2780" w:type="dxa"/>
            <w:tcBorders>
              <w:top w:val="nil"/>
              <w:left w:val="nil"/>
              <w:bottom w:val="nil"/>
              <w:right w:val="nil"/>
            </w:tcBorders>
            <w:shd w:val="clear" w:color="auto" w:fill="auto"/>
            <w:noWrap/>
            <w:vAlign w:val="bottom"/>
            <w:hideMark/>
          </w:tcPr>
          <w:p w14:paraId="1419F2B8" w14:textId="77777777" w:rsidR="002A4FBC" w:rsidRPr="0085125A" w:rsidRDefault="002A4FBC" w:rsidP="002A4FBC">
            <w:pPr>
              <w:jc w:val="both"/>
            </w:pPr>
          </w:p>
        </w:tc>
      </w:tr>
      <w:tr w:rsidR="002A4FBC" w:rsidRPr="0085125A" w14:paraId="7799ACB6" w14:textId="77777777" w:rsidTr="002A4FBC">
        <w:trPr>
          <w:trHeight w:val="300"/>
        </w:trPr>
        <w:tc>
          <w:tcPr>
            <w:tcW w:w="2600" w:type="dxa"/>
            <w:tcBorders>
              <w:top w:val="nil"/>
              <w:left w:val="nil"/>
              <w:bottom w:val="nil"/>
              <w:right w:val="nil"/>
            </w:tcBorders>
            <w:shd w:val="clear" w:color="auto" w:fill="auto"/>
            <w:noWrap/>
            <w:vAlign w:val="bottom"/>
            <w:hideMark/>
          </w:tcPr>
          <w:p w14:paraId="740D2A18" w14:textId="77777777" w:rsidR="002A4FBC" w:rsidRPr="0085125A" w:rsidRDefault="002A4FBC" w:rsidP="002A4FBC">
            <w:pPr>
              <w:jc w:val="both"/>
            </w:pPr>
            <w:r w:rsidRPr="0085125A">
              <w:t>Upper Bounds I(1)</w:t>
            </w:r>
          </w:p>
        </w:tc>
        <w:tc>
          <w:tcPr>
            <w:tcW w:w="4160" w:type="dxa"/>
            <w:tcBorders>
              <w:top w:val="nil"/>
              <w:left w:val="nil"/>
              <w:bottom w:val="nil"/>
              <w:right w:val="nil"/>
            </w:tcBorders>
            <w:shd w:val="clear" w:color="auto" w:fill="auto"/>
            <w:noWrap/>
            <w:vAlign w:val="bottom"/>
            <w:hideMark/>
          </w:tcPr>
          <w:p w14:paraId="3814BF0C" w14:textId="44540735" w:rsidR="002A4FBC" w:rsidRPr="0085125A" w:rsidRDefault="00817877" w:rsidP="002A4FBC">
            <w:pPr>
              <w:jc w:val="both"/>
            </w:pPr>
            <w:r w:rsidRPr="0085125A">
              <w:t>4.43</w:t>
            </w:r>
          </w:p>
        </w:tc>
        <w:tc>
          <w:tcPr>
            <w:tcW w:w="2780" w:type="dxa"/>
            <w:tcBorders>
              <w:top w:val="nil"/>
              <w:left w:val="nil"/>
              <w:bottom w:val="nil"/>
              <w:right w:val="nil"/>
            </w:tcBorders>
            <w:shd w:val="clear" w:color="auto" w:fill="auto"/>
            <w:noWrap/>
            <w:vAlign w:val="bottom"/>
            <w:hideMark/>
          </w:tcPr>
          <w:p w14:paraId="0EF21198" w14:textId="77777777" w:rsidR="002A4FBC" w:rsidRPr="0085125A" w:rsidRDefault="002A4FBC" w:rsidP="002A4FBC">
            <w:pPr>
              <w:jc w:val="both"/>
            </w:pPr>
          </w:p>
        </w:tc>
      </w:tr>
      <w:tr w:rsidR="002A4FBC" w:rsidRPr="0085125A" w14:paraId="40DD9CA2" w14:textId="77777777" w:rsidTr="002A4FBC">
        <w:trPr>
          <w:trHeight w:val="300"/>
        </w:trPr>
        <w:tc>
          <w:tcPr>
            <w:tcW w:w="2600" w:type="dxa"/>
            <w:tcBorders>
              <w:top w:val="nil"/>
              <w:left w:val="nil"/>
              <w:bottom w:val="nil"/>
              <w:right w:val="nil"/>
            </w:tcBorders>
            <w:shd w:val="clear" w:color="auto" w:fill="auto"/>
            <w:noWrap/>
            <w:vAlign w:val="bottom"/>
          </w:tcPr>
          <w:p w14:paraId="5D83C0AB" w14:textId="77777777" w:rsidR="002A4FBC" w:rsidRPr="0085125A" w:rsidRDefault="002A4FBC" w:rsidP="002A4FBC">
            <w:pPr>
              <w:jc w:val="both"/>
              <w:rPr>
                <w:rFonts w:ascii="Adv" w:hAnsi="Adv" w:cs="Calibri"/>
              </w:rPr>
            </w:pPr>
          </w:p>
        </w:tc>
        <w:tc>
          <w:tcPr>
            <w:tcW w:w="4160" w:type="dxa"/>
            <w:tcBorders>
              <w:top w:val="nil"/>
              <w:left w:val="nil"/>
              <w:bottom w:val="nil"/>
              <w:right w:val="nil"/>
            </w:tcBorders>
            <w:shd w:val="clear" w:color="auto" w:fill="auto"/>
            <w:noWrap/>
            <w:vAlign w:val="bottom"/>
          </w:tcPr>
          <w:p w14:paraId="22835862" w14:textId="77777777" w:rsidR="002A4FBC" w:rsidRPr="0085125A" w:rsidRDefault="002A4FBC" w:rsidP="002A4FBC">
            <w:pPr>
              <w:jc w:val="both"/>
              <w:rPr>
                <w:rFonts w:ascii="Calibri" w:hAnsi="Calibri" w:cs="Calibri"/>
              </w:rPr>
            </w:pPr>
          </w:p>
        </w:tc>
        <w:tc>
          <w:tcPr>
            <w:tcW w:w="2780" w:type="dxa"/>
            <w:tcBorders>
              <w:top w:val="nil"/>
              <w:left w:val="nil"/>
              <w:bottom w:val="nil"/>
              <w:right w:val="nil"/>
            </w:tcBorders>
            <w:shd w:val="clear" w:color="auto" w:fill="auto"/>
            <w:noWrap/>
            <w:vAlign w:val="bottom"/>
          </w:tcPr>
          <w:p w14:paraId="23E26F89" w14:textId="77777777" w:rsidR="002A4FBC" w:rsidRPr="0085125A" w:rsidRDefault="002A4FBC" w:rsidP="002A4FBC">
            <w:pPr>
              <w:jc w:val="both"/>
              <w:rPr>
                <w:rFonts w:ascii="Calibri" w:hAnsi="Calibri" w:cs="Calibri"/>
                <w:sz w:val="18"/>
                <w:szCs w:val="18"/>
              </w:rPr>
            </w:pPr>
          </w:p>
        </w:tc>
      </w:tr>
    </w:tbl>
    <w:p w14:paraId="01724FFC" w14:textId="25B62EFB" w:rsidR="002A4FBC" w:rsidRPr="0085125A" w:rsidRDefault="007D7BE1" w:rsidP="002A4FBC">
      <w:pPr>
        <w:spacing w:after="200" w:line="360" w:lineRule="auto"/>
        <w:jc w:val="both"/>
      </w:pPr>
      <w:r>
        <w:t xml:space="preserve">Building on the work of </w:t>
      </w:r>
      <w:r w:rsidR="00283303">
        <w:t>(Pe</w:t>
      </w:r>
      <w:r w:rsidR="00E12C06">
        <w:t>sa</w:t>
      </w:r>
      <w:r w:rsidR="00283303">
        <w:t>ra</w:t>
      </w:r>
      <w:r w:rsidR="00E12C06">
        <w:t xml:space="preserve">n et al.2001), the computed F-statistic is </w:t>
      </w:r>
      <w:r w:rsidR="00817877" w:rsidRPr="0085125A">
        <w:t>337.092</w:t>
      </w:r>
      <w:r w:rsidR="00E12C06">
        <w:t xml:space="preserve"> in the ARDL bound test </w:t>
      </w:r>
      <w:r w:rsidR="002A4FBC" w:rsidRPr="0085125A">
        <w:t xml:space="preserve">greater than the upper critical bound value of </w:t>
      </w:r>
      <w:r w:rsidR="00817877" w:rsidRPr="0085125A">
        <w:t>4.43</w:t>
      </w:r>
      <w:r w:rsidR="002A4FBC" w:rsidRPr="0085125A">
        <w:t xml:space="preserve"> at the 1% significance level. </w:t>
      </w:r>
      <w:r w:rsidR="00E12C06">
        <w:t xml:space="preserve">Thus, </w:t>
      </w:r>
      <w:r w:rsidR="00E12C06" w:rsidRPr="0085125A">
        <w:t>the null hypothesis of no cointegration is rejected</w:t>
      </w:r>
      <w:r w:rsidR="00E12C06">
        <w:t xml:space="preserve">. Implying </w:t>
      </w:r>
      <w:r w:rsidR="002A4FBC" w:rsidRPr="0085125A">
        <w:t>that</w:t>
      </w:r>
      <w:r w:rsidR="00E12C06">
        <w:t xml:space="preserve">, </w:t>
      </w:r>
      <w:r w:rsidR="002A4FBC" w:rsidRPr="0085125A">
        <w:t xml:space="preserve">in Rwanda, </w:t>
      </w:r>
      <w:r w:rsidR="00E12C06">
        <w:t xml:space="preserve">the </w:t>
      </w:r>
      <w:r w:rsidR="002A4FBC" w:rsidRPr="0085125A">
        <w:t>final energy consumption, GDP per capita, industrialization, urbanization, and population growth, trade openness are all cointegrated. The</w:t>
      </w:r>
      <w:r w:rsidR="00E12C06">
        <w:t>se</w:t>
      </w:r>
      <w:r w:rsidR="002A4FBC" w:rsidRPr="0085125A">
        <w:t xml:space="preserve"> findings are reinforced </w:t>
      </w:r>
      <w:r w:rsidR="00E12C06">
        <w:t xml:space="preserve">by previous </w:t>
      </w:r>
      <w:r w:rsidR="002A4FBC" w:rsidRPr="0085125A">
        <w:t>empirical studies (Mavikela&amp; Khobai, 2018; Soytas &amp;Sari, 2003; Sadorsky, 20144.5</w:t>
      </w:r>
      <w:r w:rsidR="00E12C06">
        <w:t>)</w:t>
      </w:r>
      <w:r w:rsidR="002A4FBC" w:rsidRPr="0085125A">
        <w:t>.</w:t>
      </w:r>
      <w:r w:rsidR="00E02D10" w:rsidRPr="0085125A">
        <w:t xml:space="preserve"> </w:t>
      </w:r>
    </w:p>
    <w:p w14:paraId="1973175E" w14:textId="77777777" w:rsidR="002A4FBC" w:rsidRPr="0085125A" w:rsidRDefault="002A4FBC" w:rsidP="002A4FBC">
      <w:pPr>
        <w:spacing w:after="200" w:line="276" w:lineRule="auto"/>
        <w:jc w:val="both"/>
        <w:rPr>
          <w:b/>
        </w:rPr>
      </w:pPr>
      <w:r w:rsidRPr="0085125A">
        <w:rPr>
          <w:b/>
        </w:rPr>
        <w:t>4.5.</w:t>
      </w:r>
      <w:r w:rsidRPr="0085125A">
        <w:rPr>
          <w:rFonts w:eastAsiaTheme="majorEastAsia"/>
          <w:b/>
        </w:rPr>
        <w:t xml:space="preserve"> </w:t>
      </w:r>
      <w:r w:rsidRPr="0085125A">
        <w:rPr>
          <w:b/>
          <w:bCs/>
        </w:rPr>
        <w:t>Granger causality Wald tests</w:t>
      </w:r>
    </w:p>
    <w:p w14:paraId="6F543A0D" w14:textId="71D32A41" w:rsidR="002A4FBC" w:rsidRPr="00B817C3" w:rsidRDefault="002A4FBC" w:rsidP="002A4FBC">
      <w:pPr>
        <w:spacing w:after="200" w:line="276" w:lineRule="auto"/>
        <w:jc w:val="both"/>
        <w:rPr>
          <w:color w:val="FF0000"/>
        </w:rPr>
      </w:pPr>
      <w:r w:rsidRPr="0085125A">
        <w:t xml:space="preserve">We examine the long-run relationship between final energy consumption with explanatory variables using Granger Causality Test.  Table 10 presents the results of Granger Causality. Accordingly, </w:t>
      </w:r>
      <w:r w:rsidRPr="00D908AE">
        <w:t xml:space="preserve">the results of the granger causality tests </w:t>
      </w:r>
      <w:r w:rsidR="00B817C3" w:rsidRPr="00D908AE">
        <w:t>confirm short</w:t>
      </w:r>
      <w:r w:rsidRPr="00D908AE">
        <w:t>-run bidirectional causality traced between p</w:t>
      </w:r>
      <w:r w:rsidR="00B817C3" w:rsidRPr="00D908AE">
        <w:t xml:space="preserve">opulation growth, urbanization </w:t>
      </w:r>
      <w:r w:rsidRPr="00D908AE">
        <w:t xml:space="preserve">and energy usage, </w:t>
      </w:r>
      <w:r w:rsidR="00B817C3" w:rsidRPr="00D908AE">
        <w:t xml:space="preserve">the </w:t>
      </w:r>
      <w:r w:rsidRPr="00D908AE">
        <w:t xml:space="preserve">unidirectional causality runs from trade openness to total final energy usage. Furthermore,  the results reveal no evidence of causal effect between GDP per capita, industrial growth, foreign direct investment and total final energy consumption. </w:t>
      </w:r>
    </w:p>
    <w:p w14:paraId="0D440651" w14:textId="77777777" w:rsidR="002A4FBC" w:rsidRPr="0085125A" w:rsidRDefault="002A4FBC" w:rsidP="002A4FBC">
      <w:pPr>
        <w:spacing w:after="200" w:line="276" w:lineRule="auto"/>
        <w:jc w:val="both"/>
        <w:rPr>
          <w:b/>
        </w:rPr>
      </w:pPr>
      <w:r w:rsidRPr="0085125A">
        <w:rPr>
          <w:b/>
        </w:rPr>
        <w:t>Table10:</w:t>
      </w:r>
      <w:r w:rsidRPr="0085125A">
        <w:rPr>
          <w:rFonts w:eastAsiaTheme="majorEastAsia"/>
          <w:b/>
        </w:rPr>
        <w:t xml:space="preserve"> </w:t>
      </w:r>
      <w:r w:rsidRPr="0085125A">
        <w:rPr>
          <w:b/>
        </w:rPr>
        <w:t>Granger causality Test Results</w:t>
      </w:r>
    </w:p>
    <w:tbl>
      <w:tblPr>
        <w:tblW w:w="9860" w:type="dxa"/>
        <w:tblLook w:val="04A0" w:firstRow="1" w:lastRow="0" w:firstColumn="1" w:lastColumn="0" w:noHBand="0" w:noVBand="1"/>
      </w:tblPr>
      <w:tblGrid>
        <w:gridCol w:w="7290"/>
        <w:gridCol w:w="1470"/>
        <w:gridCol w:w="1116"/>
      </w:tblGrid>
      <w:tr w:rsidR="0085125A" w:rsidRPr="0085125A" w14:paraId="5B3D679D" w14:textId="77777777" w:rsidTr="002A4FBC">
        <w:trPr>
          <w:trHeight w:val="450"/>
        </w:trPr>
        <w:tc>
          <w:tcPr>
            <w:tcW w:w="7290" w:type="dxa"/>
            <w:tcBorders>
              <w:top w:val="single" w:sz="4" w:space="0" w:color="auto"/>
              <w:left w:val="nil"/>
              <w:bottom w:val="single" w:sz="4" w:space="0" w:color="auto"/>
              <w:right w:val="nil"/>
            </w:tcBorders>
            <w:shd w:val="clear" w:color="auto" w:fill="auto"/>
            <w:noWrap/>
            <w:vAlign w:val="bottom"/>
            <w:hideMark/>
          </w:tcPr>
          <w:p w14:paraId="05B2F76B" w14:textId="4D036A00" w:rsidR="002A4FBC" w:rsidRPr="0085125A" w:rsidRDefault="00356770" w:rsidP="002A4FBC">
            <w:pPr>
              <w:jc w:val="both"/>
            </w:pPr>
            <w:r w:rsidRPr="0085125A">
              <w:t>Null Hypothesis</w:t>
            </w:r>
          </w:p>
        </w:tc>
        <w:tc>
          <w:tcPr>
            <w:tcW w:w="1470" w:type="dxa"/>
            <w:tcBorders>
              <w:top w:val="single" w:sz="4" w:space="0" w:color="auto"/>
              <w:left w:val="nil"/>
              <w:bottom w:val="single" w:sz="4" w:space="0" w:color="auto"/>
              <w:right w:val="nil"/>
            </w:tcBorders>
            <w:shd w:val="clear" w:color="auto" w:fill="auto"/>
            <w:noWrap/>
            <w:vAlign w:val="bottom"/>
            <w:hideMark/>
          </w:tcPr>
          <w:p w14:paraId="3DCA7ADE" w14:textId="77777777" w:rsidR="002A4FBC" w:rsidRPr="0085125A" w:rsidRDefault="002A4FBC" w:rsidP="002A4FBC">
            <w:pPr>
              <w:jc w:val="both"/>
            </w:pPr>
            <w:r w:rsidRPr="0085125A">
              <w:t>Chi square (F-statistic)</w:t>
            </w:r>
          </w:p>
        </w:tc>
        <w:tc>
          <w:tcPr>
            <w:tcW w:w="1100" w:type="dxa"/>
            <w:tcBorders>
              <w:top w:val="single" w:sz="4" w:space="0" w:color="auto"/>
              <w:left w:val="nil"/>
              <w:bottom w:val="single" w:sz="4" w:space="0" w:color="auto"/>
              <w:right w:val="nil"/>
            </w:tcBorders>
            <w:shd w:val="clear" w:color="auto" w:fill="auto"/>
            <w:noWrap/>
            <w:vAlign w:val="bottom"/>
            <w:hideMark/>
          </w:tcPr>
          <w:p w14:paraId="1BD87CEE" w14:textId="77777777" w:rsidR="002A4FBC" w:rsidRPr="0085125A" w:rsidRDefault="002A4FBC" w:rsidP="002A4FBC">
            <w:pPr>
              <w:jc w:val="both"/>
            </w:pPr>
            <w:r w:rsidRPr="0085125A">
              <w:t>p-value</w:t>
            </w:r>
          </w:p>
        </w:tc>
      </w:tr>
      <w:tr w:rsidR="0085125A" w:rsidRPr="0085125A" w14:paraId="3B9D4732" w14:textId="77777777" w:rsidTr="002A4FBC">
        <w:trPr>
          <w:trHeight w:val="300"/>
        </w:trPr>
        <w:tc>
          <w:tcPr>
            <w:tcW w:w="7290" w:type="dxa"/>
            <w:tcBorders>
              <w:top w:val="nil"/>
              <w:left w:val="nil"/>
              <w:bottom w:val="nil"/>
              <w:right w:val="nil"/>
            </w:tcBorders>
            <w:shd w:val="clear" w:color="auto" w:fill="auto"/>
            <w:noWrap/>
            <w:vAlign w:val="bottom"/>
            <w:hideMark/>
          </w:tcPr>
          <w:p w14:paraId="5DBCD1DE" w14:textId="77777777" w:rsidR="002A4FBC" w:rsidRPr="0085125A" w:rsidRDefault="002A4FBC" w:rsidP="002A4FBC">
            <w:pPr>
              <w:jc w:val="both"/>
            </w:pPr>
            <w:r w:rsidRPr="0085125A">
              <w:t xml:space="preserve"> Total final energy consumption did not granger cause  GDP per capita </w:t>
            </w:r>
          </w:p>
        </w:tc>
        <w:tc>
          <w:tcPr>
            <w:tcW w:w="1470" w:type="dxa"/>
            <w:tcBorders>
              <w:top w:val="nil"/>
              <w:left w:val="nil"/>
              <w:bottom w:val="nil"/>
              <w:right w:val="nil"/>
            </w:tcBorders>
            <w:shd w:val="clear" w:color="auto" w:fill="auto"/>
            <w:noWrap/>
            <w:vAlign w:val="bottom"/>
            <w:hideMark/>
          </w:tcPr>
          <w:p w14:paraId="2FCC17B4" w14:textId="61FD73AA" w:rsidR="002A4FBC" w:rsidRPr="0085125A" w:rsidRDefault="004946AA" w:rsidP="002A4FBC">
            <w:pPr>
              <w:jc w:val="both"/>
            </w:pPr>
            <w:r>
              <w:t>0.</w:t>
            </w:r>
            <w:r w:rsidRPr="004946AA">
              <w:t>27691</w:t>
            </w:r>
          </w:p>
        </w:tc>
        <w:tc>
          <w:tcPr>
            <w:tcW w:w="1100" w:type="dxa"/>
            <w:tcBorders>
              <w:top w:val="nil"/>
              <w:left w:val="nil"/>
              <w:bottom w:val="nil"/>
              <w:right w:val="nil"/>
            </w:tcBorders>
            <w:shd w:val="clear" w:color="auto" w:fill="auto"/>
            <w:noWrap/>
            <w:vAlign w:val="bottom"/>
            <w:hideMark/>
          </w:tcPr>
          <w:p w14:paraId="43B61701" w14:textId="77777777" w:rsidR="002A4FBC" w:rsidRPr="0085125A" w:rsidRDefault="002A4FBC" w:rsidP="002A4FBC">
            <w:pPr>
              <w:jc w:val="both"/>
            </w:pPr>
            <w:r w:rsidRPr="0085125A">
              <w:t>0.926</w:t>
            </w:r>
          </w:p>
        </w:tc>
      </w:tr>
      <w:tr w:rsidR="0085125A" w:rsidRPr="0085125A" w14:paraId="123D10A2" w14:textId="77777777" w:rsidTr="002A4FBC">
        <w:trPr>
          <w:trHeight w:val="300"/>
        </w:trPr>
        <w:tc>
          <w:tcPr>
            <w:tcW w:w="7290" w:type="dxa"/>
            <w:tcBorders>
              <w:top w:val="nil"/>
              <w:left w:val="nil"/>
              <w:bottom w:val="nil"/>
              <w:right w:val="nil"/>
            </w:tcBorders>
            <w:shd w:val="clear" w:color="auto" w:fill="auto"/>
            <w:noWrap/>
            <w:vAlign w:val="bottom"/>
            <w:hideMark/>
          </w:tcPr>
          <w:p w14:paraId="1BC12E18" w14:textId="77777777" w:rsidR="002A4FBC" w:rsidRPr="0085125A" w:rsidRDefault="002A4FBC" w:rsidP="002A4FBC">
            <w:pPr>
              <w:jc w:val="both"/>
            </w:pPr>
            <w:r w:rsidRPr="0085125A">
              <w:t xml:space="preserve"> GDP per capita did not granger cause  Total final energy consumption</w:t>
            </w:r>
          </w:p>
        </w:tc>
        <w:tc>
          <w:tcPr>
            <w:tcW w:w="1470" w:type="dxa"/>
            <w:tcBorders>
              <w:top w:val="nil"/>
              <w:left w:val="nil"/>
              <w:bottom w:val="nil"/>
              <w:right w:val="nil"/>
            </w:tcBorders>
            <w:shd w:val="clear" w:color="auto" w:fill="auto"/>
            <w:noWrap/>
            <w:vAlign w:val="bottom"/>
            <w:hideMark/>
          </w:tcPr>
          <w:p w14:paraId="5D121BE5" w14:textId="4747B940" w:rsidR="002A4FBC" w:rsidRPr="0085125A" w:rsidRDefault="004946AA" w:rsidP="002A4FBC">
            <w:pPr>
              <w:jc w:val="both"/>
            </w:pPr>
            <w:r>
              <w:t>0</w:t>
            </w:r>
            <w:r w:rsidRPr="004946AA">
              <w:t>.26593</w:t>
            </w:r>
          </w:p>
        </w:tc>
        <w:tc>
          <w:tcPr>
            <w:tcW w:w="1100" w:type="dxa"/>
            <w:tcBorders>
              <w:top w:val="nil"/>
              <w:left w:val="nil"/>
              <w:bottom w:val="nil"/>
              <w:right w:val="nil"/>
            </w:tcBorders>
            <w:shd w:val="clear" w:color="auto" w:fill="auto"/>
            <w:noWrap/>
            <w:vAlign w:val="bottom"/>
            <w:hideMark/>
          </w:tcPr>
          <w:p w14:paraId="1AC4FD7B" w14:textId="15E7D539" w:rsidR="002A4FBC" w:rsidRPr="0085125A" w:rsidRDefault="004946AA" w:rsidP="002A4FBC">
            <w:pPr>
              <w:jc w:val="both"/>
            </w:pPr>
            <w:r>
              <w:t>0.60</w:t>
            </w:r>
            <w:r w:rsidR="00E71984">
              <w:t>6</w:t>
            </w:r>
          </w:p>
        </w:tc>
      </w:tr>
      <w:tr w:rsidR="0085125A" w:rsidRPr="0085125A" w14:paraId="4925541B" w14:textId="77777777" w:rsidTr="002A4FBC">
        <w:trPr>
          <w:trHeight w:val="300"/>
        </w:trPr>
        <w:tc>
          <w:tcPr>
            <w:tcW w:w="7290" w:type="dxa"/>
            <w:tcBorders>
              <w:top w:val="nil"/>
              <w:left w:val="nil"/>
              <w:bottom w:val="nil"/>
              <w:right w:val="nil"/>
            </w:tcBorders>
            <w:shd w:val="clear" w:color="auto" w:fill="auto"/>
            <w:noWrap/>
            <w:vAlign w:val="bottom"/>
            <w:hideMark/>
          </w:tcPr>
          <w:p w14:paraId="4BB3CC20" w14:textId="77777777" w:rsidR="002A4FBC" w:rsidRPr="0085125A" w:rsidRDefault="002A4FBC" w:rsidP="002A4FBC">
            <w:pPr>
              <w:jc w:val="both"/>
            </w:pPr>
            <w:r w:rsidRPr="0085125A">
              <w:t xml:space="preserve"> Total final energy consumption did not granger cause Trade </w:t>
            </w:r>
            <w:r w:rsidRPr="0085125A">
              <w:rPr>
                <w:shd w:val="clear" w:color="auto" w:fill="FFFFFF"/>
              </w:rPr>
              <w:t xml:space="preserve">openness </w:t>
            </w:r>
            <w:r w:rsidRPr="0085125A">
              <w:t>% GDP</w:t>
            </w:r>
          </w:p>
        </w:tc>
        <w:tc>
          <w:tcPr>
            <w:tcW w:w="1470" w:type="dxa"/>
            <w:tcBorders>
              <w:top w:val="nil"/>
              <w:left w:val="nil"/>
              <w:bottom w:val="nil"/>
              <w:right w:val="nil"/>
            </w:tcBorders>
            <w:shd w:val="clear" w:color="auto" w:fill="auto"/>
            <w:noWrap/>
            <w:vAlign w:val="bottom"/>
            <w:hideMark/>
          </w:tcPr>
          <w:p w14:paraId="4BAAC715" w14:textId="7E58F72A" w:rsidR="002A4FBC" w:rsidRPr="0085125A" w:rsidRDefault="00E71984" w:rsidP="002A4FBC">
            <w:pPr>
              <w:jc w:val="both"/>
            </w:pPr>
            <w:r>
              <w:t xml:space="preserve">0 </w:t>
            </w:r>
            <w:r w:rsidRPr="00E71984">
              <w:t>.12507</w:t>
            </w:r>
          </w:p>
        </w:tc>
        <w:tc>
          <w:tcPr>
            <w:tcW w:w="1100" w:type="dxa"/>
            <w:tcBorders>
              <w:top w:val="nil"/>
              <w:left w:val="nil"/>
              <w:bottom w:val="nil"/>
              <w:right w:val="nil"/>
            </w:tcBorders>
            <w:shd w:val="clear" w:color="auto" w:fill="auto"/>
            <w:noWrap/>
            <w:vAlign w:val="bottom"/>
            <w:hideMark/>
          </w:tcPr>
          <w:p w14:paraId="71A45A33" w14:textId="60A7B42A" w:rsidR="002A4FBC" w:rsidRPr="0085125A" w:rsidRDefault="00E71984" w:rsidP="00E71984">
            <w:pPr>
              <w:jc w:val="both"/>
            </w:pPr>
            <w:r>
              <w:t xml:space="preserve"> </w:t>
            </w:r>
            <w:r w:rsidRPr="00E71984">
              <w:t>0.724</w:t>
            </w:r>
          </w:p>
        </w:tc>
      </w:tr>
      <w:tr w:rsidR="0085125A" w:rsidRPr="0085125A" w14:paraId="3297E874" w14:textId="77777777" w:rsidTr="002A4FBC">
        <w:trPr>
          <w:trHeight w:val="300"/>
        </w:trPr>
        <w:tc>
          <w:tcPr>
            <w:tcW w:w="7290" w:type="dxa"/>
            <w:tcBorders>
              <w:top w:val="nil"/>
              <w:left w:val="nil"/>
              <w:bottom w:val="nil"/>
              <w:right w:val="nil"/>
            </w:tcBorders>
            <w:shd w:val="clear" w:color="auto" w:fill="auto"/>
            <w:noWrap/>
            <w:vAlign w:val="bottom"/>
            <w:hideMark/>
          </w:tcPr>
          <w:p w14:paraId="38187A22" w14:textId="77777777" w:rsidR="002A4FBC" w:rsidRPr="0085125A" w:rsidRDefault="002A4FBC" w:rsidP="002A4FBC">
            <w:pPr>
              <w:jc w:val="both"/>
            </w:pPr>
            <w:r w:rsidRPr="0085125A">
              <w:t xml:space="preserve"> Trade openness do not granger cause  Total final energy consumption</w:t>
            </w:r>
          </w:p>
        </w:tc>
        <w:tc>
          <w:tcPr>
            <w:tcW w:w="1470" w:type="dxa"/>
            <w:tcBorders>
              <w:top w:val="nil"/>
              <w:left w:val="nil"/>
              <w:bottom w:val="nil"/>
              <w:right w:val="nil"/>
            </w:tcBorders>
            <w:shd w:val="clear" w:color="auto" w:fill="auto"/>
            <w:noWrap/>
            <w:vAlign w:val="bottom"/>
            <w:hideMark/>
          </w:tcPr>
          <w:p w14:paraId="1E123A87" w14:textId="77777777" w:rsidR="002A4FBC" w:rsidRPr="0085125A" w:rsidRDefault="002A4FBC" w:rsidP="002A4FBC">
            <w:pPr>
              <w:jc w:val="both"/>
            </w:pPr>
            <w:r w:rsidRPr="0085125A">
              <w:t>5.5232</w:t>
            </w:r>
          </w:p>
        </w:tc>
        <w:tc>
          <w:tcPr>
            <w:tcW w:w="1100" w:type="dxa"/>
            <w:tcBorders>
              <w:top w:val="nil"/>
              <w:left w:val="nil"/>
              <w:bottom w:val="nil"/>
              <w:right w:val="nil"/>
            </w:tcBorders>
            <w:shd w:val="clear" w:color="auto" w:fill="auto"/>
            <w:noWrap/>
            <w:vAlign w:val="bottom"/>
            <w:hideMark/>
          </w:tcPr>
          <w:p w14:paraId="3C5C0E28" w14:textId="31DC17FF" w:rsidR="002A4FBC" w:rsidRPr="0085125A" w:rsidRDefault="00356770" w:rsidP="00FF1B9F">
            <w:pPr>
              <w:jc w:val="both"/>
            </w:pPr>
            <w:r w:rsidRPr="0085125A">
              <w:t xml:space="preserve">  0.</w:t>
            </w:r>
            <w:r w:rsidR="00FF1B9F">
              <w:t>136</w:t>
            </w:r>
          </w:p>
        </w:tc>
      </w:tr>
      <w:tr w:rsidR="0085125A" w:rsidRPr="0085125A" w14:paraId="6703AD1B" w14:textId="77777777" w:rsidTr="002A4FBC">
        <w:trPr>
          <w:trHeight w:val="300"/>
        </w:trPr>
        <w:tc>
          <w:tcPr>
            <w:tcW w:w="7290" w:type="dxa"/>
            <w:tcBorders>
              <w:top w:val="nil"/>
              <w:left w:val="nil"/>
              <w:bottom w:val="nil"/>
              <w:right w:val="nil"/>
            </w:tcBorders>
            <w:shd w:val="clear" w:color="auto" w:fill="auto"/>
            <w:noWrap/>
            <w:vAlign w:val="bottom"/>
            <w:hideMark/>
          </w:tcPr>
          <w:p w14:paraId="08BD6E67" w14:textId="77777777" w:rsidR="002A4FBC" w:rsidRPr="0085125A" w:rsidRDefault="002A4FBC" w:rsidP="002A4FBC">
            <w:pPr>
              <w:jc w:val="both"/>
            </w:pPr>
            <w:r w:rsidRPr="0085125A">
              <w:t xml:space="preserve"> Total final energy consumption did not granger cause  Population Growth</w:t>
            </w:r>
          </w:p>
        </w:tc>
        <w:tc>
          <w:tcPr>
            <w:tcW w:w="1470" w:type="dxa"/>
            <w:tcBorders>
              <w:top w:val="nil"/>
              <w:left w:val="nil"/>
              <w:bottom w:val="nil"/>
              <w:right w:val="nil"/>
            </w:tcBorders>
            <w:shd w:val="clear" w:color="auto" w:fill="auto"/>
            <w:noWrap/>
            <w:vAlign w:val="bottom"/>
            <w:hideMark/>
          </w:tcPr>
          <w:p w14:paraId="66412B19" w14:textId="56F28329" w:rsidR="002A4FBC" w:rsidRPr="0085125A" w:rsidRDefault="00E71984" w:rsidP="00E71984">
            <w:pPr>
              <w:jc w:val="both"/>
            </w:pPr>
            <w:r w:rsidRPr="00E71984">
              <w:t>42.528</w:t>
            </w:r>
          </w:p>
        </w:tc>
        <w:tc>
          <w:tcPr>
            <w:tcW w:w="1100" w:type="dxa"/>
            <w:tcBorders>
              <w:top w:val="nil"/>
              <w:left w:val="nil"/>
              <w:bottom w:val="nil"/>
              <w:right w:val="nil"/>
            </w:tcBorders>
            <w:shd w:val="clear" w:color="auto" w:fill="auto"/>
            <w:noWrap/>
            <w:vAlign w:val="bottom"/>
            <w:hideMark/>
          </w:tcPr>
          <w:p w14:paraId="6D1F5B6F" w14:textId="0EAB4D12" w:rsidR="002A4FBC" w:rsidRPr="0085125A" w:rsidRDefault="00D118DC" w:rsidP="002A4FBC">
            <w:pPr>
              <w:jc w:val="both"/>
            </w:pPr>
            <w:r w:rsidRPr="0085125A">
              <w:t xml:space="preserve"> 0.000*</w:t>
            </w:r>
            <w:r w:rsidR="0075475A" w:rsidRPr="0085125A">
              <w:t>**</w:t>
            </w:r>
          </w:p>
        </w:tc>
      </w:tr>
      <w:tr w:rsidR="0085125A" w:rsidRPr="0085125A" w14:paraId="4C13EC24" w14:textId="77777777" w:rsidTr="002A4FBC">
        <w:trPr>
          <w:trHeight w:val="300"/>
        </w:trPr>
        <w:tc>
          <w:tcPr>
            <w:tcW w:w="7290" w:type="dxa"/>
            <w:tcBorders>
              <w:top w:val="nil"/>
              <w:left w:val="nil"/>
              <w:bottom w:val="nil"/>
              <w:right w:val="nil"/>
            </w:tcBorders>
            <w:shd w:val="clear" w:color="auto" w:fill="auto"/>
            <w:noWrap/>
            <w:vAlign w:val="bottom"/>
            <w:hideMark/>
          </w:tcPr>
          <w:p w14:paraId="1314C159" w14:textId="77777777" w:rsidR="002A4FBC" w:rsidRPr="0085125A" w:rsidRDefault="002A4FBC" w:rsidP="002A4FBC">
            <w:pPr>
              <w:jc w:val="both"/>
            </w:pPr>
            <w:r w:rsidRPr="0085125A">
              <w:lastRenderedPageBreak/>
              <w:t xml:space="preserve"> Population growth did not granger cause  Total final energy consumption</w:t>
            </w:r>
          </w:p>
        </w:tc>
        <w:tc>
          <w:tcPr>
            <w:tcW w:w="1470" w:type="dxa"/>
            <w:tcBorders>
              <w:top w:val="nil"/>
              <w:left w:val="nil"/>
              <w:bottom w:val="nil"/>
              <w:right w:val="nil"/>
            </w:tcBorders>
            <w:shd w:val="clear" w:color="auto" w:fill="auto"/>
            <w:noWrap/>
            <w:vAlign w:val="bottom"/>
            <w:hideMark/>
          </w:tcPr>
          <w:p w14:paraId="1E4A3353" w14:textId="7A428FAE" w:rsidR="002A4FBC" w:rsidRPr="0085125A" w:rsidRDefault="00E71984" w:rsidP="00E71984">
            <w:pPr>
              <w:jc w:val="both"/>
            </w:pPr>
            <w:r w:rsidRPr="00E71984">
              <w:t>121.35</w:t>
            </w:r>
          </w:p>
        </w:tc>
        <w:tc>
          <w:tcPr>
            <w:tcW w:w="1100" w:type="dxa"/>
            <w:tcBorders>
              <w:top w:val="nil"/>
              <w:left w:val="nil"/>
              <w:bottom w:val="nil"/>
              <w:right w:val="nil"/>
            </w:tcBorders>
            <w:shd w:val="clear" w:color="auto" w:fill="auto"/>
            <w:noWrap/>
            <w:vAlign w:val="bottom"/>
            <w:hideMark/>
          </w:tcPr>
          <w:p w14:paraId="1F9FAF47" w14:textId="08EAAF35" w:rsidR="002A4FBC" w:rsidRPr="0085125A" w:rsidRDefault="00D118DC" w:rsidP="002A4FBC">
            <w:pPr>
              <w:jc w:val="both"/>
            </w:pPr>
            <w:r w:rsidRPr="0085125A">
              <w:t xml:space="preserve"> 0.000*</w:t>
            </w:r>
            <w:r w:rsidR="0075475A" w:rsidRPr="0085125A">
              <w:t>**</w:t>
            </w:r>
          </w:p>
        </w:tc>
      </w:tr>
      <w:tr w:rsidR="0085125A" w:rsidRPr="0085125A" w14:paraId="48AD5C41" w14:textId="77777777" w:rsidTr="002A4FBC">
        <w:trPr>
          <w:trHeight w:val="300"/>
        </w:trPr>
        <w:tc>
          <w:tcPr>
            <w:tcW w:w="7290" w:type="dxa"/>
            <w:tcBorders>
              <w:top w:val="nil"/>
              <w:left w:val="nil"/>
              <w:bottom w:val="nil"/>
              <w:right w:val="nil"/>
            </w:tcBorders>
            <w:shd w:val="clear" w:color="auto" w:fill="auto"/>
            <w:noWrap/>
            <w:vAlign w:val="bottom"/>
            <w:hideMark/>
          </w:tcPr>
          <w:p w14:paraId="33570782" w14:textId="77777777" w:rsidR="002A4FBC" w:rsidRPr="0085125A" w:rsidRDefault="002A4FBC" w:rsidP="002A4FBC">
            <w:pPr>
              <w:jc w:val="both"/>
            </w:pPr>
            <w:r w:rsidRPr="0085125A">
              <w:t xml:space="preserve"> Total final energy consumption did not granger cause industrial growth</w:t>
            </w:r>
          </w:p>
        </w:tc>
        <w:tc>
          <w:tcPr>
            <w:tcW w:w="1470" w:type="dxa"/>
            <w:tcBorders>
              <w:top w:val="nil"/>
              <w:left w:val="nil"/>
              <w:bottom w:val="nil"/>
              <w:right w:val="nil"/>
            </w:tcBorders>
            <w:shd w:val="clear" w:color="auto" w:fill="auto"/>
            <w:noWrap/>
            <w:vAlign w:val="bottom"/>
            <w:hideMark/>
          </w:tcPr>
          <w:p w14:paraId="2CC7C551" w14:textId="3E0C593A" w:rsidR="002A4FBC" w:rsidRPr="0085125A" w:rsidRDefault="00E71984" w:rsidP="002A4FBC">
            <w:pPr>
              <w:jc w:val="both"/>
            </w:pPr>
            <w:r>
              <w:t>0.</w:t>
            </w:r>
            <w:r w:rsidRPr="00E71984">
              <w:t>61351</w:t>
            </w:r>
          </w:p>
        </w:tc>
        <w:tc>
          <w:tcPr>
            <w:tcW w:w="1100" w:type="dxa"/>
            <w:tcBorders>
              <w:top w:val="nil"/>
              <w:left w:val="nil"/>
              <w:bottom w:val="nil"/>
              <w:right w:val="nil"/>
            </w:tcBorders>
            <w:shd w:val="clear" w:color="auto" w:fill="auto"/>
            <w:noWrap/>
            <w:vAlign w:val="bottom"/>
            <w:hideMark/>
          </w:tcPr>
          <w:p w14:paraId="06E98C05" w14:textId="11B53F00" w:rsidR="002A4FBC" w:rsidRPr="0085125A" w:rsidRDefault="00E71984" w:rsidP="002A4FBC">
            <w:pPr>
              <w:jc w:val="both"/>
            </w:pPr>
            <w:r w:rsidRPr="00E71984">
              <w:t>0.433</w:t>
            </w:r>
          </w:p>
        </w:tc>
      </w:tr>
      <w:tr w:rsidR="0085125A" w:rsidRPr="0085125A" w14:paraId="424AC2D7" w14:textId="77777777" w:rsidTr="002A4FBC">
        <w:trPr>
          <w:trHeight w:val="300"/>
        </w:trPr>
        <w:tc>
          <w:tcPr>
            <w:tcW w:w="7290" w:type="dxa"/>
            <w:tcBorders>
              <w:top w:val="nil"/>
              <w:left w:val="nil"/>
              <w:bottom w:val="nil"/>
              <w:right w:val="nil"/>
            </w:tcBorders>
            <w:shd w:val="clear" w:color="auto" w:fill="auto"/>
            <w:noWrap/>
            <w:vAlign w:val="bottom"/>
            <w:hideMark/>
          </w:tcPr>
          <w:p w14:paraId="3DB90B8C" w14:textId="77777777" w:rsidR="002A4FBC" w:rsidRPr="0085125A" w:rsidRDefault="002A4FBC" w:rsidP="002A4FBC">
            <w:pPr>
              <w:jc w:val="both"/>
            </w:pPr>
            <w:r w:rsidRPr="0085125A">
              <w:t xml:space="preserve">  industrial growth did not granger cause  Total final energy consumption</w:t>
            </w:r>
          </w:p>
        </w:tc>
        <w:tc>
          <w:tcPr>
            <w:tcW w:w="1470" w:type="dxa"/>
            <w:tcBorders>
              <w:top w:val="nil"/>
              <w:left w:val="nil"/>
              <w:bottom w:val="nil"/>
              <w:right w:val="nil"/>
            </w:tcBorders>
            <w:shd w:val="clear" w:color="auto" w:fill="auto"/>
            <w:noWrap/>
            <w:vAlign w:val="bottom"/>
            <w:hideMark/>
          </w:tcPr>
          <w:p w14:paraId="7EFCBCD7" w14:textId="61A9F415" w:rsidR="002A4FBC" w:rsidRPr="0085125A" w:rsidRDefault="00E71984" w:rsidP="00E71984">
            <w:pPr>
              <w:jc w:val="both"/>
            </w:pPr>
            <w:r>
              <w:t>0.</w:t>
            </w:r>
            <w:r w:rsidRPr="00E71984">
              <w:t>07091</w:t>
            </w:r>
          </w:p>
        </w:tc>
        <w:tc>
          <w:tcPr>
            <w:tcW w:w="1100" w:type="dxa"/>
            <w:tcBorders>
              <w:top w:val="nil"/>
              <w:left w:val="nil"/>
              <w:bottom w:val="nil"/>
              <w:right w:val="nil"/>
            </w:tcBorders>
            <w:shd w:val="clear" w:color="auto" w:fill="auto"/>
            <w:noWrap/>
            <w:vAlign w:val="bottom"/>
            <w:hideMark/>
          </w:tcPr>
          <w:p w14:paraId="40E59325" w14:textId="1111EF9F" w:rsidR="002A4FBC" w:rsidRPr="0085125A" w:rsidRDefault="00E71984" w:rsidP="00E71984">
            <w:pPr>
              <w:jc w:val="both"/>
            </w:pPr>
            <w:r w:rsidRPr="00E71984">
              <w:t>0.790</w:t>
            </w:r>
          </w:p>
        </w:tc>
      </w:tr>
      <w:tr w:rsidR="0085125A" w:rsidRPr="0085125A" w14:paraId="016C0CFD" w14:textId="77777777" w:rsidTr="002A4FBC">
        <w:trPr>
          <w:trHeight w:val="300"/>
        </w:trPr>
        <w:tc>
          <w:tcPr>
            <w:tcW w:w="7290" w:type="dxa"/>
            <w:tcBorders>
              <w:top w:val="nil"/>
              <w:left w:val="nil"/>
              <w:bottom w:val="nil"/>
              <w:right w:val="nil"/>
            </w:tcBorders>
            <w:shd w:val="clear" w:color="auto" w:fill="auto"/>
            <w:noWrap/>
            <w:vAlign w:val="bottom"/>
            <w:hideMark/>
          </w:tcPr>
          <w:p w14:paraId="4921881F" w14:textId="77777777" w:rsidR="002A4FBC" w:rsidRPr="0085125A" w:rsidRDefault="002A4FBC" w:rsidP="002A4FBC">
            <w:pPr>
              <w:jc w:val="both"/>
            </w:pPr>
            <w:r w:rsidRPr="0085125A">
              <w:t xml:space="preserve"> Total final energy consumption did not granger cause FDI%GDP</w:t>
            </w:r>
          </w:p>
        </w:tc>
        <w:tc>
          <w:tcPr>
            <w:tcW w:w="1470" w:type="dxa"/>
            <w:tcBorders>
              <w:top w:val="nil"/>
              <w:left w:val="nil"/>
              <w:bottom w:val="nil"/>
              <w:right w:val="nil"/>
            </w:tcBorders>
            <w:shd w:val="clear" w:color="auto" w:fill="auto"/>
            <w:noWrap/>
            <w:vAlign w:val="bottom"/>
            <w:hideMark/>
          </w:tcPr>
          <w:p w14:paraId="266FFB2F" w14:textId="685FDF26" w:rsidR="002A4FBC" w:rsidRPr="0085125A" w:rsidRDefault="00E93D91" w:rsidP="002A4FBC">
            <w:pPr>
              <w:jc w:val="both"/>
            </w:pPr>
            <w:r w:rsidRPr="00E93D91">
              <w:t>1.028</w:t>
            </w:r>
          </w:p>
        </w:tc>
        <w:tc>
          <w:tcPr>
            <w:tcW w:w="1100" w:type="dxa"/>
            <w:tcBorders>
              <w:top w:val="nil"/>
              <w:left w:val="nil"/>
              <w:bottom w:val="nil"/>
              <w:right w:val="nil"/>
            </w:tcBorders>
            <w:shd w:val="clear" w:color="auto" w:fill="auto"/>
            <w:noWrap/>
            <w:vAlign w:val="bottom"/>
            <w:hideMark/>
          </w:tcPr>
          <w:p w14:paraId="3103FF76" w14:textId="4BB87298" w:rsidR="002A4FBC" w:rsidRPr="0085125A" w:rsidRDefault="00E93D91" w:rsidP="002A4FBC">
            <w:pPr>
              <w:jc w:val="both"/>
            </w:pPr>
            <w:r w:rsidRPr="00E93D91">
              <w:t>0.311</w:t>
            </w:r>
          </w:p>
        </w:tc>
      </w:tr>
      <w:tr w:rsidR="0085125A" w:rsidRPr="0085125A" w14:paraId="7C7A1F49" w14:textId="77777777" w:rsidTr="002A4FBC">
        <w:trPr>
          <w:trHeight w:val="300"/>
        </w:trPr>
        <w:tc>
          <w:tcPr>
            <w:tcW w:w="7290" w:type="dxa"/>
            <w:tcBorders>
              <w:top w:val="nil"/>
              <w:left w:val="nil"/>
              <w:bottom w:val="nil"/>
              <w:right w:val="nil"/>
            </w:tcBorders>
            <w:shd w:val="clear" w:color="auto" w:fill="auto"/>
            <w:noWrap/>
            <w:vAlign w:val="bottom"/>
            <w:hideMark/>
          </w:tcPr>
          <w:p w14:paraId="293B0573" w14:textId="77777777" w:rsidR="002A4FBC" w:rsidRPr="0085125A" w:rsidRDefault="002A4FBC" w:rsidP="002A4FBC">
            <w:pPr>
              <w:jc w:val="both"/>
            </w:pPr>
            <w:r w:rsidRPr="0085125A">
              <w:t xml:space="preserve">  FDI%GDP did not granger cause  Total final energy consumption</w:t>
            </w:r>
          </w:p>
        </w:tc>
        <w:tc>
          <w:tcPr>
            <w:tcW w:w="1470" w:type="dxa"/>
            <w:tcBorders>
              <w:top w:val="nil"/>
              <w:left w:val="nil"/>
              <w:bottom w:val="nil"/>
              <w:right w:val="nil"/>
            </w:tcBorders>
            <w:shd w:val="clear" w:color="auto" w:fill="auto"/>
            <w:noWrap/>
            <w:vAlign w:val="bottom"/>
            <w:hideMark/>
          </w:tcPr>
          <w:p w14:paraId="584CE7D1" w14:textId="4877F96D" w:rsidR="002A4FBC" w:rsidRPr="0085125A" w:rsidRDefault="00E93D91" w:rsidP="00E93D91">
            <w:pPr>
              <w:jc w:val="both"/>
            </w:pPr>
            <w:r>
              <w:t>0</w:t>
            </w:r>
            <w:r w:rsidRPr="00E93D91">
              <w:t>.00092</w:t>
            </w:r>
          </w:p>
        </w:tc>
        <w:tc>
          <w:tcPr>
            <w:tcW w:w="1100" w:type="dxa"/>
            <w:tcBorders>
              <w:top w:val="nil"/>
              <w:left w:val="nil"/>
              <w:bottom w:val="nil"/>
              <w:right w:val="nil"/>
            </w:tcBorders>
            <w:shd w:val="clear" w:color="auto" w:fill="auto"/>
            <w:noWrap/>
            <w:vAlign w:val="bottom"/>
            <w:hideMark/>
          </w:tcPr>
          <w:p w14:paraId="19661681" w14:textId="77777777" w:rsidR="002A4FBC" w:rsidRPr="0085125A" w:rsidRDefault="002A4FBC" w:rsidP="002A4FBC">
            <w:pPr>
              <w:jc w:val="both"/>
            </w:pPr>
            <w:r w:rsidRPr="0085125A">
              <w:t>0.799</w:t>
            </w:r>
          </w:p>
        </w:tc>
      </w:tr>
      <w:tr w:rsidR="0085125A" w:rsidRPr="0085125A" w14:paraId="0461EC5E" w14:textId="77777777" w:rsidTr="002A4FBC">
        <w:trPr>
          <w:trHeight w:val="300"/>
        </w:trPr>
        <w:tc>
          <w:tcPr>
            <w:tcW w:w="7290" w:type="dxa"/>
            <w:tcBorders>
              <w:top w:val="nil"/>
              <w:left w:val="nil"/>
              <w:bottom w:val="nil"/>
              <w:right w:val="nil"/>
            </w:tcBorders>
            <w:shd w:val="clear" w:color="auto" w:fill="auto"/>
            <w:noWrap/>
            <w:vAlign w:val="bottom"/>
            <w:hideMark/>
          </w:tcPr>
          <w:p w14:paraId="740F3E35" w14:textId="77777777" w:rsidR="002A4FBC" w:rsidRPr="0085125A" w:rsidRDefault="002A4FBC" w:rsidP="002A4FBC">
            <w:pPr>
              <w:jc w:val="both"/>
            </w:pPr>
            <w:r w:rsidRPr="0085125A">
              <w:t xml:space="preserve"> Total final energy consumption did not granger cause Urbanization</w:t>
            </w:r>
          </w:p>
        </w:tc>
        <w:tc>
          <w:tcPr>
            <w:tcW w:w="1470" w:type="dxa"/>
            <w:tcBorders>
              <w:top w:val="nil"/>
              <w:left w:val="nil"/>
              <w:bottom w:val="nil"/>
              <w:right w:val="nil"/>
            </w:tcBorders>
            <w:shd w:val="clear" w:color="auto" w:fill="auto"/>
            <w:noWrap/>
            <w:vAlign w:val="bottom"/>
            <w:hideMark/>
          </w:tcPr>
          <w:p w14:paraId="07D27FDA" w14:textId="1075D3EF" w:rsidR="002A4FBC" w:rsidRPr="0085125A" w:rsidRDefault="00E93D91" w:rsidP="002A4FBC">
            <w:pPr>
              <w:jc w:val="both"/>
            </w:pPr>
            <w:r w:rsidRPr="00E93D91">
              <w:t>12.25</w:t>
            </w:r>
          </w:p>
        </w:tc>
        <w:tc>
          <w:tcPr>
            <w:tcW w:w="1100" w:type="dxa"/>
            <w:tcBorders>
              <w:top w:val="nil"/>
              <w:left w:val="nil"/>
              <w:bottom w:val="nil"/>
              <w:right w:val="nil"/>
            </w:tcBorders>
            <w:shd w:val="clear" w:color="auto" w:fill="auto"/>
            <w:noWrap/>
            <w:vAlign w:val="bottom"/>
            <w:hideMark/>
          </w:tcPr>
          <w:p w14:paraId="317F86C4" w14:textId="6C1004CE" w:rsidR="002A4FBC" w:rsidRPr="0085125A" w:rsidRDefault="00D118DC" w:rsidP="002A4FBC">
            <w:pPr>
              <w:jc w:val="both"/>
            </w:pPr>
            <w:r w:rsidRPr="0085125A">
              <w:t xml:space="preserve"> 0.000*</w:t>
            </w:r>
            <w:r w:rsidR="0063458E" w:rsidRPr="0085125A">
              <w:t>**</w:t>
            </w:r>
            <w:r w:rsidR="002A4FBC" w:rsidRPr="0085125A">
              <w:t xml:space="preserve"> </w:t>
            </w:r>
          </w:p>
        </w:tc>
      </w:tr>
      <w:tr w:rsidR="0085125A" w:rsidRPr="0085125A" w14:paraId="5DB316E0" w14:textId="77777777" w:rsidTr="002A4FBC">
        <w:trPr>
          <w:trHeight w:val="300"/>
        </w:trPr>
        <w:tc>
          <w:tcPr>
            <w:tcW w:w="7290" w:type="dxa"/>
            <w:tcBorders>
              <w:top w:val="nil"/>
              <w:left w:val="nil"/>
              <w:bottom w:val="single" w:sz="4" w:space="0" w:color="auto"/>
              <w:right w:val="nil"/>
            </w:tcBorders>
            <w:shd w:val="clear" w:color="auto" w:fill="auto"/>
            <w:noWrap/>
            <w:vAlign w:val="bottom"/>
            <w:hideMark/>
          </w:tcPr>
          <w:p w14:paraId="3BB5797D" w14:textId="77777777" w:rsidR="002A4FBC" w:rsidRPr="0085125A" w:rsidRDefault="002A4FBC" w:rsidP="002A4FBC">
            <w:pPr>
              <w:jc w:val="both"/>
            </w:pPr>
            <w:r w:rsidRPr="0085125A">
              <w:t>urbanization did not granger cause  Total final energy consumption</w:t>
            </w:r>
          </w:p>
        </w:tc>
        <w:tc>
          <w:tcPr>
            <w:tcW w:w="1470" w:type="dxa"/>
            <w:tcBorders>
              <w:top w:val="nil"/>
              <w:left w:val="nil"/>
              <w:bottom w:val="single" w:sz="4" w:space="0" w:color="auto"/>
              <w:right w:val="nil"/>
            </w:tcBorders>
            <w:shd w:val="clear" w:color="auto" w:fill="auto"/>
            <w:noWrap/>
            <w:vAlign w:val="bottom"/>
            <w:hideMark/>
          </w:tcPr>
          <w:p w14:paraId="3C0271C0" w14:textId="79D668CB" w:rsidR="002A4FBC" w:rsidRPr="0085125A" w:rsidRDefault="00E93D91" w:rsidP="00E93D91">
            <w:pPr>
              <w:jc w:val="both"/>
            </w:pPr>
            <w:r w:rsidRPr="00E93D91">
              <w:t>13.333</w:t>
            </w:r>
          </w:p>
        </w:tc>
        <w:tc>
          <w:tcPr>
            <w:tcW w:w="1100" w:type="dxa"/>
            <w:tcBorders>
              <w:top w:val="nil"/>
              <w:left w:val="nil"/>
              <w:bottom w:val="single" w:sz="4" w:space="0" w:color="auto"/>
              <w:right w:val="nil"/>
            </w:tcBorders>
            <w:shd w:val="clear" w:color="auto" w:fill="auto"/>
            <w:noWrap/>
            <w:vAlign w:val="bottom"/>
            <w:hideMark/>
          </w:tcPr>
          <w:p w14:paraId="44D29536" w14:textId="22779136" w:rsidR="002A4FBC" w:rsidRPr="0085125A" w:rsidRDefault="00D118DC" w:rsidP="002A4FBC">
            <w:pPr>
              <w:jc w:val="both"/>
            </w:pPr>
            <w:r w:rsidRPr="0085125A">
              <w:t xml:space="preserve"> 0.000*</w:t>
            </w:r>
            <w:r w:rsidR="0063458E" w:rsidRPr="0085125A">
              <w:t>**</w:t>
            </w:r>
            <w:r w:rsidR="002A4FBC" w:rsidRPr="0085125A">
              <w:t xml:space="preserve"> </w:t>
            </w:r>
          </w:p>
        </w:tc>
      </w:tr>
    </w:tbl>
    <w:p w14:paraId="3A817C8C" w14:textId="55C7748C" w:rsidR="002A4FBC" w:rsidRPr="0085125A" w:rsidRDefault="002A4FBC" w:rsidP="002A4FBC">
      <w:pPr>
        <w:spacing w:after="200" w:line="276" w:lineRule="auto"/>
        <w:jc w:val="both"/>
        <w:rPr>
          <w:sz w:val="20"/>
          <w:szCs w:val="20"/>
        </w:rPr>
      </w:pPr>
      <w:r w:rsidRPr="0085125A">
        <w:rPr>
          <w:b/>
        </w:rPr>
        <w:t>Note:</w:t>
      </w:r>
      <w:r w:rsidRPr="0085125A">
        <w:rPr>
          <w:rFonts w:eastAsiaTheme="majorEastAsia"/>
        </w:rPr>
        <w:t xml:space="preserve"> </w:t>
      </w:r>
      <w:r w:rsidRPr="0085125A">
        <w:t>***</w:t>
      </w:r>
      <w:r w:rsidR="0075475A" w:rsidRPr="0085125A">
        <w:t>, **, and *</w:t>
      </w:r>
      <w:r w:rsidRPr="0085125A">
        <w:t xml:space="preserve"> indicates the rejection of the Null hypothesis at 1%, 5% and 10% significant level, respectively</w:t>
      </w:r>
      <w:r w:rsidRPr="0085125A">
        <w:rPr>
          <w:sz w:val="20"/>
          <w:szCs w:val="20"/>
        </w:rPr>
        <w:t>.</w:t>
      </w:r>
    </w:p>
    <w:p w14:paraId="1493D34A" w14:textId="267A921D" w:rsidR="002A4FBC" w:rsidRPr="0085125A" w:rsidRDefault="002A4FBC" w:rsidP="002A4FBC">
      <w:pPr>
        <w:spacing w:after="200" w:line="360" w:lineRule="auto"/>
        <w:jc w:val="both"/>
      </w:pPr>
      <w:r w:rsidRPr="0085125A">
        <w:t>Overall, the results validate different causal relationships for different variables. The H</w:t>
      </w:r>
      <w:r w:rsidRPr="0085125A">
        <w:rPr>
          <w:vertAlign w:val="subscript"/>
        </w:rPr>
        <w:t>0</w:t>
      </w:r>
      <w:r w:rsidRPr="0085125A">
        <w:t xml:space="preserve"> is rejected on trade openness and urbanization respectively. </w:t>
      </w:r>
      <w:r w:rsidRPr="00D908AE">
        <w:t xml:space="preserve">Accordingly, the results </w:t>
      </w:r>
      <w:r w:rsidR="00B817C3" w:rsidRPr="00D908AE">
        <w:t xml:space="preserve">reveal </w:t>
      </w:r>
      <w:r w:rsidRPr="00D908AE">
        <w:t xml:space="preserve">unidirectional long-run causality from trade openness to total final energy consumption. This implies that increasing trade openness through international trade decreases energy consumption </w:t>
      </w:r>
      <w:r w:rsidR="00B817C3" w:rsidRPr="00D908AE">
        <w:t xml:space="preserve">in the long-run </w:t>
      </w:r>
      <w:r w:rsidRPr="00D908AE">
        <w:t>through adoption o</w:t>
      </w:r>
      <w:r w:rsidR="00B817C3" w:rsidRPr="00D908AE">
        <w:t xml:space="preserve">f energy-efficient technologies, </w:t>
      </w:r>
      <w:r w:rsidRPr="00D908AE">
        <w:t>and hence energy intensity significantly decrease</w:t>
      </w:r>
      <w:r w:rsidR="00B817C3" w:rsidRPr="00D908AE">
        <w:t>s</w:t>
      </w:r>
      <w:r w:rsidRPr="00D908AE">
        <w:t xml:space="preserve"> in the long-run. Similarly, a unidirectional causality running from urbanization</w:t>
      </w:r>
      <w:r w:rsidR="00D118DC" w:rsidRPr="00D908AE">
        <w:t xml:space="preserve"> and population growth</w:t>
      </w:r>
      <w:r w:rsidRPr="00D908AE">
        <w:t xml:space="preserve"> to the total final energy consumption is detected. Implyi</w:t>
      </w:r>
      <w:r w:rsidR="00B817C3" w:rsidRPr="00D908AE">
        <w:t>ng that, the existing increase in the</w:t>
      </w:r>
      <w:r w:rsidR="000313FD" w:rsidRPr="00D908AE">
        <w:t xml:space="preserve"> rate of</w:t>
      </w:r>
      <w:r w:rsidRPr="00D908AE">
        <w:t xml:space="preserve"> urbanization</w:t>
      </w:r>
      <w:r w:rsidR="00D118DC" w:rsidRPr="00D908AE">
        <w:t xml:space="preserve"> and population growth</w:t>
      </w:r>
      <w:r w:rsidR="000313FD" w:rsidRPr="00D908AE">
        <w:t xml:space="preserve">, </w:t>
      </w:r>
      <w:r w:rsidRPr="00D908AE">
        <w:t xml:space="preserve">with no efficient energy policies have </w:t>
      </w:r>
      <w:r w:rsidR="000313FD" w:rsidRPr="00D908AE">
        <w:t xml:space="preserve">a short-run </w:t>
      </w:r>
      <w:r w:rsidRPr="00D908AE">
        <w:t>significant effect on total final energy consumption</w:t>
      </w:r>
      <w:r w:rsidR="000313FD" w:rsidRPr="00D908AE">
        <w:t xml:space="preserve"> in Rwanda</w:t>
      </w:r>
      <w:r w:rsidRPr="00D908AE">
        <w:t xml:space="preserve">. </w:t>
      </w:r>
      <w:r w:rsidRPr="0085125A">
        <w:t xml:space="preserve">While for other variables, the results indicate no causal relationship between total final energy consumption and GDP per capita, </w:t>
      </w:r>
      <w:r w:rsidR="00D118DC" w:rsidRPr="0085125A">
        <w:t xml:space="preserve">FDI </w:t>
      </w:r>
      <w:r w:rsidRPr="0085125A">
        <w:t>and industrialization respectiv</w:t>
      </w:r>
      <w:r w:rsidR="000313FD">
        <w:t>ely</w:t>
      </w:r>
      <w:r w:rsidRPr="0085125A">
        <w:t xml:space="preserve">.  </w:t>
      </w:r>
    </w:p>
    <w:p w14:paraId="061D7BDA" w14:textId="77777777" w:rsidR="002A4FBC" w:rsidRPr="0085125A" w:rsidRDefault="002A4FBC" w:rsidP="002A4FBC">
      <w:pPr>
        <w:spacing w:after="200" w:line="276" w:lineRule="auto"/>
        <w:jc w:val="both"/>
        <w:rPr>
          <w:b/>
          <w:lang w:val="en-ZA"/>
        </w:rPr>
      </w:pPr>
      <w:r w:rsidRPr="0085125A">
        <w:rPr>
          <w:b/>
        </w:rPr>
        <w:t>4.6. Error Correction Model (ECM)</w:t>
      </w:r>
    </w:p>
    <w:p w14:paraId="2048EEC8" w14:textId="77777777" w:rsidR="00D118DC" w:rsidRPr="0085125A" w:rsidRDefault="002A4FBC" w:rsidP="002A4FBC">
      <w:pPr>
        <w:spacing w:after="200" w:line="276" w:lineRule="auto"/>
        <w:jc w:val="both"/>
        <w:rPr>
          <w:rFonts w:eastAsiaTheme="majorEastAsia"/>
        </w:rPr>
      </w:pPr>
      <w:r w:rsidRPr="0085125A">
        <w:t xml:space="preserve">We examine the short and long-run causality between total final energy consumption and other control variables using a vector error correction model. </w:t>
      </w:r>
      <w:r w:rsidRPr="0085125A">
        <w:rPr>
          <w:rFonts w:eastAsiaTheme="majorEastAsia"/>
        </w:rPr>
        <w:t xml:space="preserve"> Table 11 presents the results for ECM. The results reveal the short and long-run relationship between total energy consumption and explanatory variables. </w:t>
      </w:r>
    </w:p>
    <w:p w14:paraId="69AF7F3A" w14:textId="5639497D" w:rsidR="0089194A" w:rsidRPr="0085125A" w:rsidRDefault="002A4FBC" w:rsidP="007F30FD">
      <w:pPr>
        <w:spacing w:after="200" w:line="276" w:lineRule="auto"/>
        <w:jc w:val="both"/>
        <w:rPr>
          <w:b/>
        </w:rPr>
      </w:pPr>
      <w:r w:rsidRPr="0085125A">
        <w:rPr>
          <w:b/>
        </w:rPr>
        <w:t>Table 11: Showing Results of Vect</w:t>
      </w:r>
      <w:r w:rsidR="007F30FD" w:rsidRPr="0085125A">
        <w:rPr>
          <w:b/>
        </w:rPr>
        <w:t>or Error Correction Model (ECM)</w:t>
      </w:r>
    </w:p>
    <w:tbl>
      <w:tblPr>
        <w:tblW w:w="9090" w:type="dxa"/>
        <w:tblLayout w:type="fixed"/>
        <w:tblLook w:val="04A0" w:firstRow="1" w:lastRow="0" w:firstColumn="1" w:lastColumn="0" w:noHBand="0" w:noVBand="1"/>
      </w:tblPr>
      <w:tblGrid>
        <w:gridCol w:w="1339"/>
        <w:gridCol w:w="1072"/>
        <w:gridCol w:w="1099"/>
        <w:gridCol w:w="1050"/>
        <w:gridCol w:w="1166"/>
        <w:gridCol w:w="1114"/>
        <w:gridCol w:w="1080"/>
        <w:gridCol w:w="1080"/>
        <w:gridCol w:w="90"/>
      </w:tblGrid>
      <w:tr w:rsidR="0089194A" w:rsidRPr="0085125A" w14:paraId="3336A07B" w14:textId="77777777" w:rsidTr="00B417EC">
        <w:trPr>
          <w:trHeight w:val="300"/>
        </w:trPr>
        <w:tc>
          <w:tcPr>
            <w:tcW w:w="1339" w:type="dxa"/>
            <w:tcBorders>
              <w:top w:val="single" w:sz="8" w:space="0" w:color="auto"/>
              <w:left w:val="nil"/>
              <w:bottom w:val="nil"/>
              <w:right w:val="nil"/>
            </w:tcBorders>
            <w:shd w:val="clear" w:color="auto" w:fill="auto"/>
            <w:vAlign w:val="center"/>
            <w:hideMark/>
          </w:tcPr>
          <w:p w14:paraId="502EFF83" w14:textId="77777777" w:rsidR="0089194A" w:rsidRPr="0085125A" w:rsidRDefault="0089194A">
            <w:pPr>
              <w:rPr>
                <w:sz w:val="20"/>
                <w:szCs w:val="20"/>
              </w:rPr>
            </w:pPr>
            <w:r w:rsidRPr="0085125A">
              <w:rPr>
                <w:sz w:val="20"/>
                <w:szCs w:val="20"/>
              </w:rPr>
              <w:t> </w:t>
            </w:r>
          </w:p>
        </w:tc>
        <w:tc>
          <w:tcPr>
            <w:tcW w:w="1072" w:type="dxa"/>
            <w:tcBorders>
              <w:top w:val="single" w:sz="8" w:space="0" w:color="auto"/>
              <w:left w:val="nil"/>
              <w:bottom w:val="nil"/>
              <w:right w:val="nil"/>
            </w:tcBorders>
            <w:shd w:val="clear" w:color="auto" w:fill="auto"/>
            <w:vAlign w:val="center"/>
            <w:hideMark/>
          </w:tcPr>
          <w:p w14:paraId="360D2180" w14:textId="77777777" w:rsidR="0089194A" w:rsidRPr="0085125A" w:rsidRDefault="0089194A">
            <w:pPr>
              <w:jc w:val="center"/>
              <w:rPr>
                <w:sz w:val="20"/>
                <w:szCs w:val="20"/>
              </w:rPr>
            </w:pPr>
            <w:r w:rsidRPr="0085125A">
              <w:rPr>
                <w:sz w:val="20"/>
                <w:szCs w:val="20"/>
              </w:rPr>
              <w:t>(Model 1)</w:t>
            </w:r>
          </w:p>
        </w:tc>
        <w:tc>
          <w:tcPr>
            <w:tcW w:w="1099" w:type="dxa"/>
            <w:tcBorders>
              <w:top w:val="single" w:sz="8" w:space="0" w:color="auto"/>
              <w:left w:val="nil"/>
              <w:bottom w:val="nil"/>
              <w:right w:val="nil"/>
            </w:tcBorders>
            <w:shd w:val="clear" w:color="auto" w:fill="auto"/>
            <w:vAlign w:val="center"/>
            <w:hideMark/>
          </w:tcPr>
          <w:p w14:paraId="30CB0E55" w14:textId="77777777" w:rsidR="0089194A" w:rsidRPr="0085125A" w:rsidRDefault="0089194A">
            <w:pPr>
              <w:jc w:val="center"/>
              <w:rPr>
                <w:sz w:val="20"/>
                <w:szCs w:val="20"/>
              </w:rPr>
            </w:pPr>
            <w:r w:rsidRPr="0085125A">
              <w:rPr>
                <w:sz w:val="20"/>
                <w:szCs w:val="20"/>
              </w:rPr>
              <w:t>(Model 2)</w:t>
            </w:r>
          </w:p>
        </w:tc>
        <w:tc>
          <w:tcPr>
            <w:tcW w:w="1050" w:type="dxa"/>
            <w:tcBorders>
              <w:top w:val="single" w:sz="8" w:space="0" w:color="auto"/>
              <w:left w:val="nil"/>
              <w:bottom w:val="nil"/>
              <w:right w:val="nil"/>
            </w:tcBorders>
            <w:shd w:val="clear" w:color="auto" w:fill="auto"/>
            <w:vAlign w:val="center"/>
            <w:hideMark/>
          </w:tcPr>
          <w:p w14:paraId="78F19CC1" w14:textId="77777777" w:rsidR="0089194A" w:rsidRPr="0085125A" w:rsidRDefault="0089194A">
            <w:pPr>
              <w:jc w:val="center"/>
              <w:rPr>
                <w:sz w:val="20"/>
                <w:szCs w:val="20"/>
              </w:rPr>
            </w:pPr>
            <w:r w:rsidRPr="0085125A">
              <w:rPr>
                <w:sz w:val="20"/>
                <w:szCs w:val="20"/>
              </w:rPr>
              <w:t>(Model 3)</w:t>
            </w:r>
          </w:p>
        </w:tc>
        <w:tc>
          <w:tcPr>
            <w:tcW w:w="1166" w:type="dxa"/>
            <w:tcBorders>
              <w:top w:val="single" w:sz="8" w:space="0" w:color="auto"/>
              <w:left w:val="nil"/>
              <w:bottom w:val="nil"/>
              <w:right w:val="nil"/>
            </w:tcBorders>
            <w:shd w:val="clear" w:color="auto" w:fill="auto"/>
            <w:vAlign w:val="center"/>
            <w:hideMark/>
          </w:tcPr>
          <w:p w14:paraId="68179C0F" w14:textId="77777777" w:rsidR="0089194A" w:rsidRPr="0085125A" w:rsidRDefault="0089194A">
            <w:pPr>
              <w:jc w:val="center"/>
              <w:rPr>
                <w:sz w:val="20"/>
                <w:szCs w:val="20"/>
              </w:rPr>
            </w:pPr>
            <w:r w:rsidRPr="0085125A">
              <w:rPr>
                <w:sz w:val="20"/>
                <w:szCs w:val="20"/>
              </w:rPr>
              <w:t>(Model 4)</w:t>
            </w:r>
          </w:p>
        </w:tc>
        <w:tc>
          <w:tcPr>
            <w:tcW w:w="1114" w:type="dxa"/>
            <w:tcBorders>
              <w:top w:val="single" w:sz="8" w:space="0" w:color="auto"/>
              <w:left w:val="nil"/>
              <w:bottom w:val="nil"/>
              <w:right w:val="nil"/>
            </w:tcBorders>
            <w:shd w:val="clear" w:color="auto" w:fill="auto"/>
            <w:vAlign w:val="center"/>
            <w:hideMark/>
          </w:tcPr>
          <w:p w14:paraId="6CCAE6B4" w14:textId="77777777" w:rsidR="0089194A" w:rsidRPr="0085125A" w:rsidRDefault="0089194A">
            <w:pPr>
              <w:jc w:val="center"/>
              <w:rPr>
                <w:sz w:val="20"/>
                <w:szCs w:val="20"/>
              </w:rPr>
            </w:pPr>
            <w:r w:rsidRPr="0085125A">
              <w:rPr>
                <w:sz w:val="20"/>
                <w:szCs w:val="20"/>
              </w:rPr>
              <w:t>(Model 5)</w:t>
            </w:r>
          </w:p>
        </w:tc>
        <w:tc>
          <w:tcPr>
            <w:tcW w:w="1080" w:type="dxa"/>
            <w:tcBorders>
              <w:top w:val="single" w:sz="8" w:space="0" w:color="auto"/>
              <w:left w:val="nil"/>
              <w:bottom w:val="nil"/>
              <w:right w:val="nil"/>
            </w:tcBorders>
            <w:shd w:val="clear" w:color="auto" w:fill="auto"/>
            <w:vAlign w:val="center"/>
            <w:hideMark/>
          </w:tcPr>
          <w:p w14:paraId="3F017FE0" w14:textId="77777777" w:rsidR="0089194A" w:rsidRPr="0085125A" w:rsidRDefault="0089194A">
            <w:pPr>
              <w:jc w:val="center"/>
              <w:rPr>
                <w:sz w:val="20"/>
                <w:szCs w:val="20"/>
              </w:rPr>
            </w:pPr>
            <w:r w:rsidRPr="0085125A">
              <w:rPr>
                <w:sz w:val="20"/>
                <w:szCs w:val="20"/>
              </w:rPr>
              <w:t>(Model 6)</w:t>
            </w:r>
          </w:p>
        </w:tc>
        <w:tc>
          <w:tcPr>
            <w:tcW w:w="1170" w:type="dxa"/>
            <w:gridSpan w:val="2"/>
            <w:tcBorders>
              <w:top w:val="single" w:sz="8" w:space="0" w:color="auto"/>
              <w:left w:val="nil"/>
              <w:bottom w:val="nil"/>
              <w:right w:val="nil"/>
            </w:tcBorders>
            <w:shd w:val="clear" w:color="auto" w:fill="auto"/>
            <w:vAlign w:val="center"/>
            <w:hideMark/>
          </w:tcPr>
          <w:p w14:paraId="37939136" w14:textId="77777777" w:rsidR="0089194A" w:rsidRPr="0085125A" w:rsidRDefault="0089194A">
            <w:pPr>
              <w:jc w:val="center"/>
              <w:rPr>
                <w:sz w:val="20"/>
                <w:szCs w:val="20"/>
              </w:rPr>
            </w:pPr>
            <w:r w:rsidRPr="0085125A">
              <w:rPr>
                <w:sz w:val="20"/>
                <w:szCs w:val="20"/>
              </w:rPr>
              <w:t>(Model 7)</w:t>
            </w:r>
          </w:p>
        </w:tc>
      </w:tr>
      <w:tr w:rsidR="0089194A" w:rsidRPr="0085125A" w14:paraId="1357DA72" w14:textId="77777777" w:rsidTr="00B417EC">
        <w:trPr>
          <w:trHeight w:val="525"/>
        </w:trPr>
        <w:tc>
          <w:tcPr>
            <w:tcW w:w="1339" w:type="dxa"/>
            <w:tcBorders>
              <w:top w:val="nil"/>
              <w:left w:val="nil"/>
              <w:bottom w:val="single" w:sz="8" w:space="0" w:color="auto"/>
              <w:right w:val="nil"/>
            </w:tcBorders>
            <w:shd w:val="clear" w:color="auto" w:fill="auto"/>
            <w:vAlign w:val="center"/>
            <w:hideMark/>
          </w:tcPr>
          <w:p w14:paraId="51B75CAF" w14:textId="77777777" w:rsidR="0089194A" w:rsidRPr="0085125A" w:rsidRDefault="0089194A">
            <w:pPr>
              <w:jc w:val="both"/>
              <w:rPr>
                <w:sz w:val="20"/>
                <w:szCs w:val="20"/>
              </w:rPr>
            </w:pPr>
            <w:r w:rsidRPr="0085125A">
              <w:rPr>
                <w:sz w:val="20"/>
                <w:szCs w:val="20"/>
              </w:rPr>
              <w:t>VARIABLES</w:t>
            </w:r>
          </w:p>
        </w:tc>
        <w:tc>
          <w:tcPr>
            <w:tcW w:w="1072" w:type="dxa"/>
            <w:tcBorders>
              <w:top w:val="nil"/>
              <w:left w:val="nil"/>
              <w:bottom w:val="single" w:sz="8" w:space="0" w:color="auto"/>
              <w:right w:val="nil"/>
            </w:tcBorders>
            <w:shd w:val="clear" w:color="auto" w:fill="auto"/>
            <w:vAlign w:val="center"/>
            <w:hideMark/>
          </w:tcPr>
          <w:p w14:paraId="026B82CA" w14:textId="77777777" w:rsidR="0089194A" w:rsidRPr="0085125A" w:rsidRDefault="0089194A">
            <w:pPr>
              <w:jc w:val="both"/>
              <w:rPr>
                <w:sz w:val="20"/>
                <w:szCs w:val="20"/>
              </w:rPr>
            </w:pPr>
            <w:r w:rsidRPr="0085125A">
              <w:rPr>
                <w:sz w:val="20"/>
                <w:szCs w:val="20"/>
              </w:rPr>
              <w:t>D_LTFEC</w:t>
            </w:r>
          </w:p>
        </w:tc>
        <w:tc>
          <w:tcPr>
            <w:tcW w:w="1099" w:type="dxa"/>
            <w:tcBorders>
              <w:top w:val="nil"/>
              <w:left w:val="nil"/>
              <w:bottom w:val="single" w:sz="8" w:space="0" w:color="auto"/>
              <w:right w:val="nil"/>
            </w:tcBorders>
            <w:shd w:val="clear" w:color="auto" w:fill="auto"/>
            <w:vAlign w:val="center"/>
            <w:hideMark/>
          </w:tcPr>
          <w:p w14:paraId="7185315B" w14:textId="77777777" w:rsidR="0089194A" w:rsidRPr="0085125A" w:rsidRDefault="0089194A">
            <w:pPr>
              <w:jc w:val="both"/>
              <w:rPr>
                <w:sz w:val="20"/>
                <w:szCs w:val="20"/>
              </w:rPr>
            </w:pPr>
            <w:r w:rsidRPr="0085125A">
              <w:rPr>
                <w:sz w:val="20"/>
                <w:szCs w:val="20"/>
              </w:rPr>
              <w:t>D_LGDP</w:t>
            </w:r>
          </w:p>
        </w:tc>
        <w:tc>
          <w:tcPr>
            <w:tcW w:w="1050" w:type="dxa"/>
            <w:tcBorders>
              <w:top w:val="nil"/>
              <w:left w:val="nil"/>
              <w:bottom w:val="single" w:sz="8" w:space="0" w:color="auto"/>
              <w:right w:val="nil"/>
            </w:tcBorders>
            <w:shd w:val="clear" w:color="auto" w:fill="auto"/>
            <w:vAlign w:val="center"/>
            <w:hideMark/>
          </w:tcPr>
          <w:p w14:paraId="1DC3762F" w14:textId="77777777" w:rsidR="0089194A" w:rsidRPr="0085125A" w:rsidRDefault="0089194A">
            <w:pPr>
              <w:jc w:val="both"/>
              <w:rPr>
                <w:sz w:val="20"/>
                <w:szCs w:val="20"/>
              </w:rPr>
            </w:pPr>
            <w:r w:rsidRPr="0085125A">
              <w:rPr>
                <w:sz w:val="20"/>
                <w:szCs w:val="20"/>
              </w:rPr>
              <w:t>D_LToT</w:t>
            </w:r>
          </w:p>
        </w:tc>
        <w:tc>
          <w:tcPr>
            <w:tcW w:w="1166" w:type="dxa"/>
            <w:tcBorders>
              <w:top w:val="nil"/>
              <w:left w:val="nil"/>
              <w:bottom w:val="single" w:sz="8" w:space="0" w:color="auto"/>
              <w:right w:val="nil"/>
            </w:tcBorders>
            <w:shd w:val="clear" w:color="auto" w:fill="auto"/>
            <w:vAlign w:val="center"/>
            <w:hideMark/>
          </w:tcPr>
          <w:p w14:paraId="6E99B8DF" w14:textId="77777777" w:rsidR="0089194A" w:rsidRPr="0085125A" w:rsidRDefault="0089194A">
            <w:pPr>
              <w:jc w:val="both"/>
              <w:rPr>
                <w:sz w:val="20"/>
                <w:szCs w:val="20"/>
              </w:rPr>
            </w:pPr>
            <w:r w:rsidRPr="0085125A">
              <w:rPr>
                <w:sz w:val="20"/>
                <w:szCs w:val="20"/>
              </w:rPr>
              <w:t>D_POP</w:t>
            </w:r>
          </w:p>
        </w:tc>
        <w:tc>
          <w:tcPr>
            <w:tcW w:w="1114" w:type="dxa"/>
            <w:tcBorders>
              <w:top w:val="nil"/>
              <w:left w:val="nil"/>
              <w:bottom w:val="single" w:sz="8" w:space="0" w:color="auto"/>
              <w:right w:val="nil"/>
            </w:tcBorders>
            <w:shd w:val="clear" w:color="auto" w:fill="auto"/>
            <w:vAlign w:val="center"/>
            <w:hideMark/>
          </w:tcPr>
          <w:p w14:paraId="1A562E03" w14:textId="77777777" w:rsidR="0089194A" w:rsidRPr="0085125A" w:rsidRDefault="0089194A">
            <w:pPr>
              <w:jc w:val="both"/>
              <w:rPr>
                <w:sz w:val="20"/>
                <w:szCs w:val="20"/>
              </w:rPr>
            </w:pPr>
            <w:r w:rsidRPr="0085125A">
              <w:rPr>
                <w:sz w:val="20"/>
                <w:szCs w:val="20"/>
              </w:rPr>
              <w:t>D_Indus</w:t>
            </w:r>
          </w:p>
        </w:tc>
        <w:tc>
          <w:tcPr>
            <w:tcW w:w="1080" w:type="dxa"/>
            <w:tcBorders>
              <w:top w:val="nil"/>
              <w:left w:val="nil"/>
              <w:bottom w:val="single" w:sz="8" w:space="0" w:color="auto"/>
              <w:right w:val="nil"/>
            </w:tcBorders>
            <w:shd w:val="clear" w:color="auto" w:fill="auto"/>
            <w:vAlign w:val="center"/>
            <w:hideMark/>
          </w:tcPr>
          <w:p w14:paraId="772FEB40" w14:textId="77777777" w:rsidR="0089194A" w:rsidRPr="0085125A" w:rsidRDefault="0089194A">
            <w:pPr>
              <w:jc w:val="both"/>
              <w:rPr>
                <w:sz w:val="20"/>
                <w:szCs w:val="20"/>
              </w:rPr>
            </w:pPr>
            <w:r w:rsidRPr="0085125A">
              <w:rPr>
                <w:sz w:val="20"/>
                <w:szCs w:val="20"/>
              </w:rPr>
              <w:t>D_LFDI</w:t>
            </w:r>
          </w:p>
        </w:tc>
        <w:tc>
          <w:tcPr>
            <w:tcW w:w="1170" w:type="dxa"/>
            <w:gridSpan w:val="2"/>
            <w:tcBorders>
              <w:top w:val="nil"/>
              <w:left w:val="nil"/>
              <w:bottom w:val="single" w:sz="8" w:space="0" w:color="auto"/>
              <w:right w:val="nil"/>
            </w:tcBorders>
            <w:shd w:val="clear" w:color="auto" w:fill="auto"/>
            <w:vAlign w:val="center"/>
            <w:hideMark/>
          </w:tcPr>
          <w:p w14:paraId="0460DF01" w14:textId="5EB939F9" w:rsidR="0089194A" w:rsidRPr="0085125A" w:rsidRDefault="00B417EC">
            <w:pPr>
              <w:jc w:val="both"/>
              <w:rPr>
                <w:sz w:val="20"/>
                <w:szCs w:val="20"/>
              </w:rPr>
            </w:pPr>
            <w:r>
              <w:rPr>
                <w:sz w:val="20"/>
                <w:szCs w:val="20"/>
              </w:rPr>
              <w:t>D_</w:t>
            </w:r>
            <w:r w:rsidR="0089194A" w:rsidRPr="0085125A">
              <w:rPr>
                <w:sz w:val="20"/>
                <w:szCs w:val="20"/>
              </w:rPr>
              <w:t>LUrban</w:t>
            </w:r>
          </w:p>
        </w:tc>
      </w:tr>
      <w:tr w:rsidR="0089194A" w:rsidRPr="0085125A" w14:paraId="3B6EAC56" w14:textId="77777777" w:rsidTr="00B417EC">
        <w:trPr>
          <w:trHeight w:val="300"/>
        </w:trPr>
        <w:tc>
          <w:tcPr>
            <w:tcW w:w="1339" w:type="dxa"/>
            <w:tcBorders>
              <w:top w:val="nil"/>
              <w:left w:val="nil"/>
              <w:bottom w:val="nil"/>
              <w:right w:val="nil"/>
            </w:tcBorders>
            <w:shd w:val="clear" w:color="auto" w:fill="auto"/>
            <w:vAlign w:val="center"/>
            <w:hideMark/>
          </w:tcPr>
          <w:p w14:paraId="2C63F9EB" w14:textId="77777777" w:rsidR="0089194A" w:rsidRPr="0085125A" w:rsidRDefault="0089194A">
            <w:pPr>
              <w:jc w:val="both"/>
              <w:rPr>
                <w:sz w:val="20"/>
                <w:szCs w:val="20"/>
              </w:rPr>
            </w:pPr>
          </w:p>
        </w:tc>
        <w:tc>
          <w:tcPr>
            <w:tcW w:w="1072" w:type="dxa"/>
            <w:tcBorders>
              <w:top w:val="nil"/>
              <w:left w:val="nil"/>
              <w:bottom w:val="nil"/>
              <w:right w:val="nil"/>
            </w:tcBorders>
            <w:shd w:val="clear" w:color="auto" w:fill="auto"/>
            <w:vAlign w:val="center"/>
            <w:hideMark/>
          </w:tcPr>
          <w:p w14:paraId="1277702F" w14:textId="77777777" w:rsidR="0089194A" w:rsidRPr="0085125A" w:rsidRDefault="0089194A">
            <w:pPr>
              <w:jc w:val="both"/>
              <w:rPr>
                <w:sz w:val="20"/>
                <w:szCs w:val="20"/>
              </w:rPr>
            </w:pPr>
          </w:p>
        </w:tc>
        <w:tc>
          <w:tcPr>
            <w:tcW w:w="1099" w:type="dxa"/>
            <w:tcBorders>
              <w:top w:val="nil"/>
              <w:left w:val="nil"/>
              <w:bottom w:val="nil"/>
              <w:right w:val="nil"/>
            </w:tcBorders>
            <w:shd w:val="clear" w:color="auto" w:fill="auto"/>
            <w:vAlign w:val="center"/>
            <w:hideMark/>
          </w:tcPr>
          <w:p w14:paraId="0B177D50" w14:textId="77777777" w:rsidR="0089194A" w:rsidRPr="0085125A" w:rsidRDefault="0089194A">
            <w:pPr>
              <w:jc w:val="center"/>
              <w:rPr>
                <w:sz w:val="20"/>
                <w:szCs w:val="20"/>
              </w:rPr>
            </w:pPr>
          </w:p>
        </w:tc>
        <w:tc>
          <w:tcPr>
            <w:tcW w:w="1050" w:type="dxa"/>
            <w:tcBorders>
              <w:top w:val="nil"/>
              <w:left w:val="nil"/>
              <w:bottom w:val="nil"/>
              <w:right w:val="nil"/>
            </w:tcBorders>
            <w:shd w:val="clear" w:color="auto" w:fill="auto"/>
            <w:vAlign w:val="center"/>
            <w:hideMark/>
          </w:tcPr>
          <w:p w14:paraId="1F2F2F6B" w14:textId="77777777" w:rsidR="0089194A" w:rsidRPr="0085125A" w:rsidRDefault="0089194A">
            <w:pPr>
              <w:jc w:val="center"/>
              <w:rPr>
                <w:sz w:val="20"/>
                <w:szCs w:val="20"/>
              </w:rPr>
            </w:pPr>
          </w:p>
        </w:tc>
        <w:tc>
          <w:tcPr>
            <w:tcW w:w="1166" w:type="dxa"/>
            <w:tcBorders>
              <w:top w:val="nil"/>
              <w:left w:val="nil"/>
              <w:bottom w:val="nil"/>
              <w:right w:val="nil"/>
            </w:tcBorders>
            <w:shd w:val="clear" w:color="auto" w:fill="auto"/>
            <w:vAlign w:val="center"/>
            <w:hideMark/>
          </w:tcPr>
          <w:p w14:paraId="703AEF0A" w14:textId="77777777" w:rsidR="0089194A" w:rsidRPr="0085125A" w:rsidRDefault="0089194A">
            <w:pPr>
              <w:jc w:val="center"/>
              <w:rPr>
                <w:sz w:val="20"/>
                <w:szCs w:val="20"/>
              </w:rPr>
            </w:pPr>
          </w:p>
        </w:tc>
        <w:tc>
          <w:tcPr>
            <w:tcW w:w="1114" w:type="dxa"/>
            <w:tcBorders>
              <w:top w:val="nil"/>
              <w:left w:val="nil"/>
              <w:bottom w:val="nil"/>
              <w:right w:val="nil"/>
            </w:tcBorders>
            <w:shd w:val="clear" w:color="auto" w:fill="auto"/>
            <w:vAlign w:val="center"/>
            <w:hideMark/>
          </w:tcPr>
          <w:p w14:paraId="1FF1444D" w14:textId="77777777" w:rsidR="0089194A" w:rsidRPr="0085125A" w:rsidRDefault="0089194A">
            <w:pPr>
              <w:jc w:val="center"/>
              <w:rPr>
                <w:sz w:val="20"/>
                <w:szCs w:val="20"/>
              </w:rPr>
            </w:pPr>
          </w:p>
        </w:tc>
        <w:tc>
          <w:tcPr>
            <w:tcW w:w="1080" w:type="dxa"/>
            <w:tcBorders>
              <w:top w:val="nil"/>
              <w:left w:val="nil"/>
              <w:bottom w:val="nil"/>
              <w:right w:val="nil"/>
            </w:tcBorders>
            <w:shd w:val="clear" w:color="auto" w:fill="auto"/>
            <w:vAlign w:val="center"/>
            <w:hideMark/>
          </w:tcPr>
          <w:p w14:paraId="05D60695" w14:textId="77777777" w:rsidR="0089194A" w:rsidRPr="0085125A" w:rsidRDefault="0089194A">
            <w:pPr>
              <w:jc w:val="center"/>
              <w:rPr>
                <w:sz w:val="20"/>
                <w:szCs w:val="20"/>
              </w:rPr>
            </w:pPr>
          </w:p>
        </w:tc>
        <w:tc>
          <w:tcPr>
            <w:tcW w:w="1170" w:type="dxa"/>
            <w:gridSpan w:val="2"/>
            <w:tcBorders>
              <w:top w:val="nil"/>
              <w:left w:val="nil"/>
              <w:bottom w:val="nil"/>
              <w:right w:val="nil"/>
            </w:tcBorders>
            <w:shd w:val="clear" w:color="auto" w:fill="auto"/>
            <w:vAlign w:val="center"/>
            <w:hideMark/>
          </w:tcPr>
          <w:p w14:paraId="7EC735FA" w14:textId="77777777" w:rsidR="0089194A" w:rsidRPr="0085125A" w:rsidRDefault="0089194A">
            <w:pPr>
              <w:jc w:val="center"/>
              <w:rPr>
                <w:sz w:val="20"/>
                <w:szCs w:val="20"/>
              </w:rPr>
            </w:pPr>
          </w:p>
        </w:tc>
      </w:tr>
      <w:tr w:rsidR="0089194A" w:rsidRPr="0085125A" w14:paraId="3A064E25" w14:textId="77777777" w:rsidTr="00B417EC">
        <w:trPr>
          <w:trHeight w:val="510"/>
        </w:trPr>
        <w:tc>
          <w:tcPr>
            <w:tcW w:w="1339" w:type="dxa"/>
            <w:tcBorders>
              <w:top w:val="nil"/>
              <w:left w:val="nil"/>
              <w:bottom w:val="nil"/>
              <w:right w:val="nil"/>
            </w:tcBorders>
            <w:shd w:val="clear" w:color="auto" w:fill="auto"/>
            <w:vAlign w:val="center"/>
            <w:hideMark/>
          </w:tcPr>
          <w:p w14:paraId="1FD6241B" w14:textId="77777777" w:rsidR="0089194A" w:rsidRPr="0085125A" w:rsidRDefault="0089194A">
            <w:pPr>
              <w:jc w:val="both"/>
              <w:rPr>
                <w:sz w:val="20"/>
                <w:szCs w:val="20"/>
              </w:rPr>
            </w:pPr>
            <w:r w:rsidRPr="0085125A">
              <w:rPr>
                <w:sz w:val="20"/>
                <w:szCs w:val="20"/>
              </w:rPr>
              <w:t>ECT(L._ce1)</w:t>
            </w:r>
          </w:p>
        </w:tc>
        <w:tc>
          <w:tcPr>
            <w:tcW w:w="1072" w:type="dxa"/>
            <w:tcBorders>
              <w:top w:val="nil"/>
              <w:left w:val="nil"/>
              <w:bottom w:val="nil"/>
              <w:right w:val="nil"/>
            </w:tcBorders>
            <w:shd w:val="clear" w:color="auto" w:fill="auto"/>
            <w:vAlign w:val="center"/>
            <w:hideMark/>
          </w:tcPr>
          <w:p w14:paraId="7533D082" w14:textId="77777777" w:rsidR="0089194A" w:rsidRPr="0085125A" w:rsidRDefault="0089194A">
            <w:pPr>
              <w:jc w:val="center"/>
              <w:rPr>
                <w:sz w:val="20"/>
                <w:szCs w:val="20"/>
              </w:rPr>
            </w:pPr>
            <w:r w:rsidRPr="0085125A">
              <w:rPr>
                <w:sz w:val="20"/>
                <w:szCs w:val="20"/>
              </w:rPr>
              <w:t>-0.0446*</w:t>
            </w:r>
          </w:p>
        </w:tc>
        <w:tc>
          <w:tcPr>
            <w:tcW w:w="1099" w:type="dxa"/>
            <w:tcBorders>
              <w:top w:val="nil"/>
              <w:left w:val="nil"/>
              <w:bottom w:val="nil"/>
              <w:right w:val="nil"/>
            </w:tcBorders>
            <w:shd w:val="clear" w:color="auto" w:fill="auto"/>
            <w:vAlign w:val="center"/>
            <w:hideMark/>
          </w:tcPr>
          <w:p w14:paraId="5FD30DFA" w14:textId="5B7B2C5C" w:rsidR="0089194A" w:rsidRPr="0085125A" w:rsidRDefault="0089194A">
            <w:pPr>
              <w:jc w:val="center"/>
              <w:rPr>
                <w:sz w:val="20"/>
                <w:szCs w:val="20"/>
              </w:rPr>
            </w:pPr>
            <w:r w:rsidRPr="0085125A">
              <w:rPr>
                <w:sz w:val="20"/>
                <w:szCs w:val="20"/>
              </w:rPr>
              <w:t>-0.186***</w:t>
            </w:r>
          </w:p>
        </w:tc>
        <w:tc>
          <w:tcPr>
            <w:tcW w:w="1050" w:type="dxa"/>
            <w:tcBorders>
              <w:top w:val="nil"/>
              <w:left w:val="nil"/>
              <w:bottom w:val="nil"/>
              <w:right w:val="nil"/>
            </w:tcBorders>
            <w:shd w:val="clear" w:color="auto" w:fill="auto"/>
            <w:vAlign w:val="center"/>
            <w:hideMark/>
          </w:tcPr>
          <w:p w14:paraId="3ECC0850" w14:textId="77777777" w:rsidR="0089194A" w:rsidRPr="0085125A" w:rsidRDefault="0089194A">
            <w:pPr>
              <w:jc w:val="center"/>
              <w:rPr>
                <w:sz w:val="20"/>
                <w:szCs w:val="20"/>
              </w:rPr>
            </w:pPr>
            <w:r w:rsidRPr="0085125A">
              <w:rPr>
                <w:sz w:val="20"/>
                <w:szCs w:val="20"/>
              </w:rPr>
              <w:t>0.333***</w:t>
            </w:r>
          </w:p>
        </w:tc>
        <w:tc>
          <w:tcPr>
            <w:tcW w:w="1166" w:type="dxa"/>
            <w:tcBorders>
              <w:top w:val="nil"/>
              <w:left w:val="nil"/>
              <w:bottom w:val="nil"/>
              <w:right w:val="nil"/>
            </w:tcBorders>
            <w:shd w:val="clear" w:color="auto" w:fill="auto"/>
            <w:vAlign w:val="center"/>
            <w:hideMark/>
          </w:tcPr>
          <w:p w14:paraId="3467AC65" w14:textId="77777777" w:rsidR="0089194A" w:rsidRPr="0085125A" w:rsidRDefault="0089194A">
            <w:pPr>
              <w:jc w:val="center"/>
              <w:rPr>
                <w:sz w:val="20"/>
                <w:szCs w:val="20"/>
              </w:rPr>
            </w:pPr>
            <w:r w:rsidRPr="0085125A">
              <w:rPr>
                <w:sz w:val="20"/>
                <w:szCs w:val="20"/>
              </w:rPr>
              <w:t>0.00779***</w:t>
            </w:r>
          </w:p>
        </w:tc>
        <w:tc>
          <w:tcPr>
            <w:tcW w:w="1114" w:type="dxa"/>
            <w:tcBorders>
              <w:top w:val="nil"/>
              <w:left w:val="nil"/>
              <w:bottom w:val="nil"/>
              <w:right w:val="nil"/>
            </w:tcBorders>
            <w:shd w:val="clear" w:color="auto" w:fill="auto"/>
            <w:vAlign w:val="center"/>
            <w:hideMark/>
          </w:tcPr>
          <w:p w14:paraId="084D7589" w14:textId="77777777" w:rsidR="0089194A" w:rsidRPr="0085125A" w:rsidRDefault="0089194A">
            <w:pPr>
              <w:jc w:val="center"/>
              <w:rPr>
                <w:sz w:val="20"/>
                <w:szCs w:val="20"/>
              </w:rPr>
            </w:pPr>
            <w:r w:rsidRPr="0085125A">
              <w:rPr>
                <w:sz w:val="20"/>
                <w:szCs w:val="20"/>
              </w:rPr>
              <w:t>-2.357***</w:t>
            </w:r>
          </w:p>
        </w:tc>
        <w:tc>
          <w:tcPr>
            <w:tcW w:w="1080" w:type="dxa"/>
            <w:tcBorders>
              <w:top w:val="nil"/>
              <w:left w:val="nil"/>
              <w:bottom w:val="nil"/>
              <w:right w:val="nil"/>
            </w:tcBorders>
            <w:shd w:val="clear" w:color="auto" w:fill="auto"/>
            <w:vAlign w:val="center"/>
            <w:hideMark/>
          </w:tcPr>
          <w:p w14:paraId="1EA2D041" w14:textId="77777777" w:rsidR="0089194A" w:rsidRPr="0085125A" w:rsidRDefault="0089194A">
            <w:pPr>
              <w:jc w:val="center"/>
              <w:rPr>
                <w:sz w:val="20"/>
                <w:szCs w:val="20"/>
              </w:rPr>
            </w:pPr>
            <w:r w:rsidRPr="0085125A">
              <w:rPr>
                <w:sz w:val="20"/>
                <w:szCs w:val="20"/>
              </w:rPr>
              <w:t>-18.83***</w:t>
            </w:r>
          </w:p>
        </w:tc>
        <w:tc>
          <w:tcPr>
            <w:tcW w:w="1170" w:type="dxa"/>
            <w:gridSpan w:val="2"/>
            <w:tcBorders>
              <w:top w:val="nil"/>
              <w:left w:val="nil"/>
              <w:bottom w:val="nil"/>
              <w:right w:val="nil"/>
            </w:tcBorders>
            <w:shd w:val="clear" w:color="auto" w:fill="auto"/>
            <w:vAlign w:val="center"/>
            <w:hideMark/>
          </w:tcPr>
          <w:p w14:paraId="671C0C07" w14:textId="77777777" w:rsidR="0089194A" w:rsidRPr="0085125A" w:rsidRDefault="0089194A">
            <w:pPr>
              <w:jc w:val="center"/>
              <w:rPr>
                <w:sz w:val="20"/>
                <w:szCs w:val="20"/>
              </w:rPr>
            </w:pPr>
            <w:r w:rsidRPr="0085125A">
              <w:rPr>
                <w:sz w:val="20"/>
                <w:szCs w:val="20"/>
              </w:rPr>
              <w:t>0.134**</w:t>
            </w:r>
          </w:p>
        </w:tc>
      </w:tr>
      <w:tr w:rsidR="0089194A" w:rsidRPr="0085125A" w14:paraId="2E1C351D" w14:textId="77777777" w:rsidTr="00B417EC">
        <w:trPr>
          <w:trHeight w:val="300"/>
        </w:trPr>
        <w:tc>
          <w:tcPr>
            <w:tcW w:w="1339" w:type="dxa"/>
            <w:tcBorders>
              <w:top w:val="nil"/>
              <w:left w:val="nil"/>
              <w:bottom w:val="nil"/>
              <w:right w:val="nil"/>
            </w:tcBorders>
            <w:shd w:val="clear" w:color="auto" w:fill="auto"/>
            <w:vAlign w:val="center"/>
            <w:hideMark/>
          </w:tcPr>
          <w:p w14:paraId="1EF0C6F9"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160DF6A8" w14:textId="77777777" w:rsidR="0089194A" w:rsidRPr="0085125A" w:rsidRDefault="0089194A">
            <w:pPr>
              <w:jc w:val="center"/>
              <w:rPr>
                <w:sz w:val="20"/>
                <w:szCs w:val="20"/>
              </w:rPr>
            </w:pPr>
            <w:r w:rsidRPr="0085125A">
              <w:rPr>
                <w:sz w:val="20"/>
                <w:szCs w:val="20"/>
              </w:rPr>
              <w:t>-0.0251</w:t>
            </w:r>
          </w:p>
        </w:tc>
        <w:tc>
          <w:tcPr>
            <w:tcW w:w="1099" w:type="dxa"/>
            <w:tcBorders>
              <w:top w:val="nil"/>
              <w:left w:val="nil"/>
              <w:bottom w:val="nil"/>
              <w:right w:val="nil"/>
            </w:tcBorders>
            <w:shd w:val="clear" w:color="auto" w:fill="auto"/>
            <w:vAlign w:val="center"/>
            <w:hideMark/>
          </w:tcPr>
          <w:p w14:paraId="30BC475A" w14:textId="77777777" w:rsidR="0089194A" w:rsidRPr="0085125A" w:rsidRDefault="0089194A">
            <w:pPr>
              <w:jc w:val="center"/>
              <w:rPr>
                <w:sz w:val="20"/>
                <w:szCs w:val="20"/>
              </w:rPr>
            </w:pPr>
            <w:r w:rsidRPr="0085125A">
              <w:rPr>
                <w:sz w:val="20"/>
                <w:szCs w:val="20"/>
              </w:rPr>
              <w:t>-0.0392</w:t>
            </w:r>
          </w:p>
        </w:tc>
        <w:tc>
          <w:tcPr>
            <w:tcW w:w="1050" w:type="dxa"/>
            <w:tcBorders>
              <w:top w:val="nil"/>
              <w:left w:val="nil"/>
              <w:bottom w:val="nil"/>
              <w:right w:val="nil"/>
            </w:tcBorders>
            <w:shd w:val="clear" w:color="auto" w:fill="auto"/>
            <w:vAlign w:val="center"/>
            <w:hideMark/>
          </w:tcPr>
          <w:p w14:paraId="420A03A3" w14:textId="77777777" w:rsidR="0089194A" w:rsidRPr="0085125A" w:rsidRDefault="0089194A">
            <w:pPr>
              <w:jc w:val="center"/>
              <w:rPr>
                <w:sz w:val="20"/>
                <w:szCs w:val="20"/>
              </w:rPr>
            </w:pPr>
            <w:r w:rsidRPr="0085125A">
              <w:rPr>
                <w:sz w:val="20"/>
                <w:szCs w:val="20"/>
              </w:rPr>
              <w:t>-0.0371</w:t>
            </w:r>
          </w:p>
        </w:tc>
        <w:tc>
          <w:tcPr>
            <w:tcW w:w="1166" w:type="dxa"/>
            <w:tcBorders>
              <w:top w:val="nil"/>
              <w:left w:val="nil"/>
              <w:bottom w:val="nil"/>
              <w:right w:val="nil"/>
            </w:tcBorders>
            <w:shd w:val="clear" w:color="auto" w:fill="auto"/>
            <w:vAlign w:val="center"/>
            <w:hideMark/>
          </w:tcPr>
          <w:p w14:paraId="153A6A0C" w14:textId="77777777" w:rsidR="0089194A" w:rsidRPr="0085125A" w:rsidRDefault="0089194A">
            <w:pPr>
              <w:jc w:val="center"/>
              <w:rPr>
                <w:sz w:val="20"/>
                <w:szCs w:val="20"/>
              </w:rPr>
            </w:pPr>
            <w:r w:rsidRPr="0085125A">
              <w:rPr>
                <w:sz w:val="20"/>
                <w:szCs w:val="20"/>
              </w:rPr>
              <w:t>-0.00281</w:t>
            </w:r>
          </w:p>
        </w:tc>
        <w:tc>
          <w:tcPr>
            <w:tcW w:w="1114" w:type="dxa"/>
            <w:tcBorders>
              <w:top w:val="nil"/>
              <w:left w:val="nil"/>
              <w:bottom w:val="nil"/>
              <w:right w:val="nil"/>
            </w:tcBorders>
            <w:shd w:val="clear" w:color="auto" w:fill="auto"/>
            <w:vAlign w:val="center"/>
            <w:hideMark/>
          </w:tcPr>
          <w:p w14:paraId="7D02FC10" w14:textId="77777777" w:rsidR="0089194A" w:rsidRPr="0085125A" w:rsidRDefault="0089194A">
            <w:pPr>
              <w:jc w:val="center"/>
              <w:rPr>
                <w:sz w:val="20"/>
                <w:szCs w:val="20"/>
              </w:rPr>
            </w:pPr>
            <w:r w:rsidRPr="0085125A">
              <w:rPr>
                <w:sz w:val="20"/>
                <w:szCs w:val="20"/>
              </w:rPr>
              <w:t>-0.651</w:t>
            </w:r>
          </w:p>
        </w:tc>
        <w:tc>
          <w:tcPr>
            <w:tcW w:w="1080" w:type="dxa"/>
            <w:tcBorders>
              <w:top w:val="nil"/>
              <w:left w:val="nil"/>
              <w:bottom w:val="nil"/>
              <w:right w:val="nil"/>
            </w:tcBorders>
            <w:shd w:val="clear" w:color="auto" w:fill="auto"/>
            <w:vAlign w:val="center"/>
            <w:hideMark/>
          </w:tcPr>
          <w:p w14:paraId="768CEA5E" w14:textId="77777777" w:rsidR="0089194A" w:rsidRPr="0085125A" w:rsidRDefault="0089194A">
            <w:pPr>
              <w:jc w:val="center"/>
              <w:rPr>
                <w:sz w:val="20"/>
                <w:szCs w:val="20"/>
              </w:rPr>
            </w:pPr>
            <w:r w:rsidRPr="0085125A">
              <w:rPr>
                <w:sz w:val="20"/>
                <w:szCs w:val="20"/>
              </w:rPr>
              <w:t>-5.086</w:t>
            </w:r>
          </w:p>
        </w:tc>
        <w:tc>
          <w:tcPr>
            <w:tcW w:w="1170" w:type="dxa"/>
            <w:gridSpan w:val="2"/>
            <w:tcBorders>
              <w:top w:val="nil"/>
              <w:left w:val="nil"/>
              <w:bottom w:val="nil"/>
              <w:right w:val="nil"/>
            </w:tcBorders>
            <w:shd w:val="clear" w:color="auto" w:fill="auto"/>
            <w:vAlign w:val="center"/>
            <w:hideMark/>
          </w:tcPr>
          <w:p w14:paraId="17082265" w14:textId="77777777" w:rsidR="0089194A" w:rsidRPr="0085125A" w:rsidRDefault="0089194A">
            <w:pPr>
              <w:jc w:val="center"/>
              <w:rPr>
                <w:sz w:val="20"/>
                <w:szCs w:val="20"/>
              </w:rPr>
            </w:pPr>
            <w:r w:rsidRPr="0085125A">
              <w:rPr>
                <w:sz w:val="20"/>
                <w:szCs w:val="20"/>
              </w:rPr>
              <w:t>-0.0543</w:t>
            </w:r>
          </w:p>
        </w:tc>
      </w:tr>
      <w:tr w:rsidR="0089194A" w:rsidRPr="0085125A" w14:paraId="723F190C" w14:textId="77777777" w:rsidTr="00B417EC">
        <w:trPr>
          <w:trHeight w:val="300"/>
        </w:trPr>
        <w:tc>
          <w:tcPr>
            <w:tcW w:w="1339" w:type="dxa"/>
            <w:tcBorders>
              <w:top w:val="nil"/>
              <w:left w:val="nil"/>
              <w:bottom w:val="nil"/>
              <w:right w:val="nil"/>
            </w:tcBorders>
            <w:shd w:val="clear" w:color="auto" w:fill="auto"/>
            <w:vAlign w:val="center"/>
            <w:hideMark/>
          </w:tcPr>
          <w:p w14:paraId="0B2E6AC3" w14:textId="77777777" w:rsidR="0089194A" w:rsidRPr="0085125A" w:rsidRDefault="0089194A">
            <w:pPr>
              <w:jc w:val="both"/>
              <w:rPr>
                <w:sz w:val="20"/>
                <w:szCs w:val="20"/>
              </w:rPr>
            </w:pPr>
            <w:r w:rsidRPr="0085125A">
              <w:rPr>
                <w:sz w:val="20"/>
                <w:szCs w:val="20"/>
              </w:rPr>
              <w:lastRenderedPageBreak/>
              <w:t>LD.LTFEC</w:t>
            </w:r>
          </w:p>
        </w:tc>
        <w:tc>
          <w:tcPr>
            <w:tcW w:w="1072" w:type="dxa"/>
            <w:tcBorders>
              <w:top w:val="nil"/>
              <w:left w:val="nil"/>
              <w:bottom w:val="nil"/>
              <w:right w:val="nil"/>
            </w:tcBorders>
            <w:shd w:val="clear" w:color="auto" w:fill="auto"/>
            <w:vAlign w:val="center"/>
            <w:hideMark/>
          </w:tcPr>
          <w:p w14:paraId="0EC26A6C" w14:textId="01DFB875" w:rsidR="0089194A" w:rsidRPr="0085125A" w:rsidRDefault="0089194A">
            <w:pPr>
              <w:jc w:val="center"/>
              <w:rPr>
                <w:sz w:val="20"/>
                <w:szCs w:val="20"/>
              </w:rPr>
            </w:pPr>
            <w:r w:rsidRPr="0085125A">
              <w:rPr>
                <w:sz w:val="20"/>
                <w:szCs w:val="20"/>
              </w:rPr>
              <w:t>-0.876***</w:t>
            </w:r>
          </w:p>
        </w:tc>
        <w:tc>
          <w:tcPr>
            <w:tcW w:w="1099" w:type="dxa"/>
            <w:tcBorders>
              <w:top w:val="nil"/>
              <w:left w:val="nil"/>
              <w:bottom w:val="nil"/>
              <w:right w:val="nil"/>
            </w:tcBorders>
            <w:shd w:val="clear" w:color="auto" w:fill="auto"/>
            <w:vAlign w:val="center"/>
            <w:hideMark/>
          </w:tcPr>
          <w:p w14:paraId="537971D2" w14:textId="77777777" w:rsidR="0089194A" w:rsidRPr="0085125A" w:rsidRDefault="0089194A">
            <w:pPr>
              <w:jc w:val="center"/>
              <w:rPr>
                <w:sz w:val="20"/>
                <w:szCs w:val="20"/>
              </w:rPr>
            </w:pPr>
            <w:r w:rsidRPr="0085125A">
              <w:rPr>
                <w:sz w:val="20"/>
                <w:szCs w:val="20"/>
              </w:rPr>
              <w:t>-0.00231</w:t>
            </w:r>
          </w:p>
        </w:tc>
        <w:tc>
          <w:tcPr>
            <w:tcW w:w="1050" w:type="dxa"/>
            <w:tcBorders>
              <w:top w:val="nil"/>
              <w:left w:val="nil"/>
              <w:bottom w:val="nil"/>
              <w:right w:val="nil"/>
            </w:tcBorders>
            <w:shd w:val="clear" w:color="auto" w:fill="auto"/>
            <w:vAlign w:val="center"/>
            <w:hideMark/>
          </w:tcPr>
          <w:p w14:paraId="75107527" w14:textId="77777777" w:rsidR="0089194A" w:rsidRPr="0085125A" w:rsidRDefault="0089194A">
            <w:pPr>
              <w:jc w:val="center"/>
              <w:rPr>
                <w:sz w:val="20"/>
                <w:szCs w:val="20"/>
              </w:rPr>
            </w:pPr>
            <w:r w:rsidRPr="0085125A">
              <w:rPr>
                <w:sz w:val="20"/>
                <w:szCs w:val="20"/>
              </w:rPr>
              <w:t>-1.028**</w:t>
            </w:r>
          </w:p>
        </w:tc>
        <w:tc>
          <w:tcPr>
            <w:tcW w:w="1166" w:type="dxa"/>
            <w:tcBorders>
              <w:top w:val="nil"/>
              <w:left w:val="nil"/>
              <w:bottom w:val="nil"/>
              <w:right w:val="nil"/>
            </w:tcBorders>
            <w:shd w:val="clear" w:color="auto" w:fill="auto"/>
            <w:vAlign w:val="center"/>
            <w:hideMark/>
          </w:tcPr>
          <w:p w14:paraId="136B60A4" w14:textId="77777777" w:rsidR="0089194A" w:rsidRPr="0085125A" w:rsidRDefault="0089194A">
            <w:pPr>
              <w:jc w:val="center"/>
              <w:rPr>
                <w:sz w:val="20"/>
                <w:szCs w:val="20"/>
              </w:rPr>
            </w:pPr>
            <w:r w:rsidRPr="0085125A">
              <w:rPr>
                <w:sz w:val="20"/>
                <w:szCs w:val="20"/>
              </w:rPr>
              <w:t>-0.0397</w:t>
            </w:r>
          </w:p>
        </w:tc>
        <w:tc>
          <w:tcPr>
            <w:tcW w:w="1114" w:type="dxa"/>
            <w:tcBorders>
              <w:top w:val="nil"/>
              <w:left w:val="nil"/>
              <w:bottom w:val="nil"/>
              <w:right w:val="nil"/>
            </w:tcBorders>
            <w:shd w:val="clear" w:color="auto" w:fill="auto"/>
            <w:vAlign w:val="center"/>
            <w:hideMark/>
          </w:tcPr>
          <w:p w14:paraId="196736A4" w14:textId="77777777" w:rsidR="0089194A" w:rsidRPr="0085125A" w:rsidRDefault="0089194A">
            <w:pPr>
              <w:jc w:val="center"/>
              <w:rPr>
                <w:sz w:val="20"/>
                <w:szCs w:val="20"/>
              </w:rPr>
            </w:pPr>
            <w:r w:rsidRPr="0085125A">
              <w:rPr>
                <w:sz w:val="20"/>
                <w:szCs w:val="20"/>
              </w:rPr>
              <w:t>2.319</w:t>
            </w:r>
          </w:p>
        </w:tc>
        <w:tc>
          <w:tcPr>
            <w:tcW w:w="1080" w:type="dxa"/>
            <w:tcBorders>
              <w:top w:val="nil"/>
              <w:left w:val="nil"/>
              <w:bottom w:val="nil"/>
              <w:right w:val="nil"/>
            </w:tcBorders>
            <w:shd w:val="clear" w:color="auto" w:fill="auto"/>
            <w:vAlign w:val="center"/>
            <w:hideMark/>
          </w:tcPr>
          <w:p w14:paraId="27A7FADC" w14:textId="77777777" w:rsidR="0089194A" w:rsidRPr="0085125A" w:rsidRDefault="0089194A">
            <w:pPr>
              <w:jc w:val="center"/>
              <w:rPr>
                <w:sz w:val="20"/>
                <w:szCs w:val="20"/>
              </w:rPr>
            </w:pPr>
            <w:r w:rsidRPr="0085125A">
              <w:rPr>
                <w:sz w:val="20"/>
                <w:szCs w:val="20"/>
              </w:rPr>
              <w:t>35.63</w:t>
            </w:r>
          </w:p>
        </w:tc>
        <w:tc>
          <w:tcPr>
            <w:tcW w:w="1170" w:type="dxa"/>
            <w:gridSpan w:val="2"/>
            <w:tcBorders>
              <w:top w:val="nil"/>
              <w:left w:val="nil"/>
              <w:bottom w:val="nil"/>
              <w:right w:val="nil"/>
            </w:tcBorders>
            <w:shd w:val="clear" w:color="auto" w:fill="auto"/>
            <w:vAlign w:val="center"/>
            <w:hideMark/>
          </w:tcPr>
          <w:p w14:paraId="724F961F" w14:textId="77777777" w:rsidR="0089194A" w:rsidRPr="0085125A" w:rsidRDefault="0089194A">
            <w:pPr>
              <w:jc w:val="center"/>
              <w:rPr>
                <w:sz w:val="20"/>
                <w:szCs w:val="20"/>
              </w:rPr>
            </w:pPr>
            <w:r w:rsidRPr="0085125A">
              <w:rPr>
                <w:sz w:val="20"/>
                <w:szCs w:val="20"/>
              </w:rPr>
              <w:t>0.662</w:t>
            </w:r>
          </w:p>
        </w:tc>
      </w:tr>
      <w:tr w:rsidR="0089194A" w:rsidRPr="0085125A" w14:paraId="51BD6EDF" w14:textId="77777777" w:rsidTr="00B417EC">
        <w:trPr>
          <w:trHeight w:val="300"/>
        </w:trPr>
        <w:tc>
          <w:tcPr>
            <w:tcW w:w="1339" w:type="dxa"/>
            <w:tcBorders>
              <w:top w:val="nil"/>
              <w:left w:val="nil"/>
              <w:bottom w:val="nil"/>
              <w:right w:val="nil"/>
            </w:tcBorders>
            <w:shd w:val="clear" w:color="auto" w:fill="auto"/>
            <w:vAlign w:val="center"/>
            <w:hideMark/>
          </w:tcPr>
          <w:p w14:paraId="79B0CFE0"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0F23C195" w14:textId="77777777" w:rsidR="0089194A" w:rsidRPr="0085125A" w:rsidRDefault="0089194A">
            <w:pPr>
              <w:jc w:val="center"/>
              <w:rPr>
                <w:sz w:val="20"/>
                <w:szCs w:val="20"/>
              </w:rPr>
            </w:pPr>
            <w:r w:rsidRPr="0085125A">
              <w:rPr>
                <w:sz w:val="20"/>
                <w:szCs w:val="20"/>
              </w:rPr>
              <w:t>-0.318</w:t>
            </w:r>
          </w:p>
        </w:tc>
        <w:tc>
          <w:tcPr>
            <w:tcW w:w="1099" w:type="dxa"/>
            <w:tcBorders>
              <w:top w:val="nil"/>
              <w:left w:val="nil"/>
              <w:bottom w:val="nil"/>
              <w:right w:val="nil"/>
            </w:tcBorders>
            <w:shd w:val="clear" w:color="auto" w:fill="auto"/>
            <w:vAlign w:val="center"/>
            <w:hideMark/>
          </w:tcPr>
          <w:p w14:paraId="69C638AF" w14:textId="77777777" w:rsidR="0089194A" w:rsidRPr="0085125A" w:rsidRDefault="0089194A">
            <w:pPr>
              <w:jc w:val="center"/>
              <w:rPr>
                <w:sz w:val="20"/>
                <w:szCs w:val="20"/>
              </w:rPr>
            </w:pPr>
            <w:r w:rsidRPr="0085125A">
              <w:rPr>
                <w:sz w:val="20"/>
                <w:szCs w:val="20"/>
              </w:rPr>
              <w:t>-0.498</w:t>
            </w:r>
          </w:p>
        </w:tc>
        <w:tc>
          <w:tcPr>
            <w:tcW w:w="1050" w:type="dxa"/>
            <w:tcBorders>
              <w:top w:val="nil"/>
              <w:left w:val="nil"/>
              <w:bottom w:val="nil"/>
              <w:right w:val="nil"/>
            </w:tcBorders>
            <w:shd w:val="clear" w:color="auto" w:fill="auto"/>
            <w:vAlign w:val="center"/>
            <w:hideMark/>
          </w:tcPr>
          <w:p w14:paraId="74797D51" w14:textId="77777777" w:rsidR="0089194A" w:rsidRPr="0085125A" w:rsidRDefault="0089194A">
            <w:pPr>
              <w:jc w:val="center"/>
              <w:rPr>
                <w:sz w:val="20"/>
                <w:szCs w:val="20"/>
              </w:rPr>
            </w:pPr>
            <w:r w:rsidRPr="0085125A">
              <w:rPr>
                <w:sz w:val="20"/>
                <w:szCs w:val="20"/>
              </w:rPr>
              <w:t>-0.47</w:t>
            </w:r>
          </w:p>
        </w:tc>
        <w:tc>
          <w:tcPr>
            <w:tcW w:w="1166" w:type="dxa"/>
            <w:tcBorders>
              <w:top w:val="nil"/>
              <w:left w:val="nil"/>
              <w:bottom w:val="nil"/>
              <w:right w:val="nil"/>
            </w:tcBorders>
            <w:shd w:val="clear" w:color="auto" w:fill="auto"/>
            <w:vAlign w:val="center"/>
            <w:hideMark/>
          </w:tcPr>
          <w:p w14:paraId="73C99445" w14:textId="77777777" w:rsidR="0089194A" w:rsidRPr="0085125A" w:rsidRDefault="0089194A">
            <w:pPr>
              <w:jc w:val="center"/>
              <w:rPr>
                <w:sz w:val="20"/>
                <w:szCs w:val="20"/>
              </w:rPr>
            </w:pPr>
            <w:r w:rsidRPr="0085125A">
              <w:rPr>
                <w:sz w:val="20"/>
                <w:szCs w:val="20"/>
              </w:rPr>
              <w:t>-0.0357</w:t>
            </w:r>
          </w:p>
        </w:tc>
        <w:tc>
          <w:tcPr>
            <w:tcW w:w="1114" w:type="dxa"/>
            <w:tcBorders>
              <w:top w:val="nil"/>
              <w:left w:val="nil"/>
              <w:bottom w:val="nil"/>
              <w:right w:val="nil"/>
            </w:tcBorders>
            <w:shd w:val="clear" w:color="auto" w:fill="auto"/>
            <w:vAlign w:val="center"/>
            <w:hideMark/>
          </w:tcPr>
          <w:p w14:paraId="174A010C" w14:textId="77777777" w:rsidR="0089194A" w:rsidRPr="0085125A" w:rsidRDefault="0089194A">
            <w:pPr>
              <w:jc w:val="center"/>
              <w:rPr>
                <w:sz w:val="20"/>
                <w:szCs w:val="20"/>
              </w:rPr>
            </w:pPr>
            <w:r w:rsidRPr="0085125A">
              <w:rPr>
                <w:sz w:val="20"/>
                <w:szCs w:val="20"/>
              </w:rPr>
              <w:t>-8.261</w:t>
            </w:r>
          </w:p>
        </w:tc>
        <w:tc>
          <w:tcPr>
            <w:tcW w:w="1080" w:type="dxa"/>
            <w:tcBorders>
              <w:top w:val="nil"/>
              <w:left w:val="nil"/>
              <w:bottom w:val="nil"/>
              <w:right w:val="nil"/>
            </w:tcBorders>
            <w:shd w:val="clear" w:color="auto" w:fill="auto"/>
            <w:vAlign w:val="center"/>
            <w:hideMark/>
          </w:tcPr>
          <w:p w14:paraId="0D16E515" w14:textId="77777777" w:rsidR="0089194A" w:rsidRPr="0085125A" w:rsidRDefault="0089194A">
            <w:pPr>
              <w:jc w:val="center"/>
              <w:rPr>
                <w:sz w:val="20"/>
                <w:szCs w:val="20"/>
              </w:rPr>
            </w:pPr>
            <w:r w:rsidRPr="0085125A">
              <w:rPr>
                <w:sz w:val="20"/>
                <w:szCs w:val="20"/>
              </w:rPr>
              <w:t>-64.53</w:t>
            </w:r>
          </w:p>
        </w:tc>
        <w:tc>
          <w:tcPr>
            <w:tcW w:w="1170" w:type="dxa"/>
            <w:gridSpan w:val="2"/>
            <w:tcBorders>
              <w:top w:val="nil"/>
              <w:left w:val="nil"/>
              <w:bottom w:val="nil"/>
              <w:right w:val="nil"/>
            </w:tcBorders>
            <w:shd w:val="clear" w:color="auto" w:fill="auto"/>
            <w:vAlign w:val="center"/>
            <w:hideMark/>
          </w:tcPr>
          <w:p w14:paraId="425F0130" w14:textId="77777777" w:rsidR="0089194A" w:rsidRPr="0085125A" w:rsidRDefault="0089194A">
            <w:pPr>
              <w:jc w:val="center"/>
              <w:rPr>
                <w:sz w:val="20"/>
                <w:szCs w:val="20"/>
              </w:rPr>
            </w:pPr>
            <w:r w:rsidRPr="0085125A">
              <w:rPr>
                <w:sz w:val="20"/>
                <w:szCs w:val="20"/>
              </w:rPr>
              <w:t>-0.689</w:t>
            </w:r>
          </w:p>
        </w:tc>
      </w:tr>
      <w:tr w:rsidR="0089194A" w:rsidRPr="0085125A" w14:paraId="23DAB43E" w14:textId="77777777" w:rsidTr="00B417EC">
        <w:trPr>
          <w:trHeight w:val="510"/>
        </w:trPr>
        <w:tc>
          <w:tcPr>
            <w:tcW w:w="1339" w:type="dxa"/>
            <w:tcBorders>
              <w:top w:val="nil"/>
              <w:left w:val="nil"/>
              <w:bottom w:val="nil"/>
              <w:right w:val="nil"/>
            </w:tcBorders>
            <w:shd w:val="clear" w:color="auto" w:fill="auto"/>
            <w:vAlign w:val="center"/>
            <w:hideMark/>
          </w:tcPr>
          <w:p w14:paraId="6B533215" w14:textId="77777777" w:rsidR="0089194A" w:rsidRPr="0085125A" w:rsidRDefault="0089194A">
            <w:pPr>
              <w:jc w:val="both"/>
              <w:rPr>
                <w:sz w:val="20"/>
                <w:szCs w:val="20"/>
              </w:rPr>
            </w:pPr>
            <w:r w:rsidRPr="0085125A">
              <w:rPr>
                <w:sz w:val="20"/>
                <w:szCs w:val="20"/>
              </w:rPr>
              <w:t>L2D.LTFEC</w:t>
            </w:r>
          </w:p>
        </w:tc>
        <w:tc>
          <w:tcPr>
            <w:tcW w:w="1072" w:type="dxa"/>
            <w:tcBorders>
              <w:top w:val="nil"/>
              <w:left w:val="nil"/>
              <w:bottom w:val="nil"/>
              <w:right w:val="nil"/>
            </w:tcBorders>
            <w:shd w:val="clear" w:color="auto" w:fill="auto"/>
            <w:vAlign w:val="center"/>
            <w:hideMark/>
          </w:tcPr>
          <w:p w14:paraId="71B53DFF" w14:textId="77777777" w:rsidR="0089194A" w:rsidRPr="0085125A" w:rsidRDefault="0089194A">
            <w:pPr>
              <w:jc w:val="center"/>
              <w:rPr>
                <w:sz w:val="20"/>
                <w:szCs w:val="20"/>
              </w:rPr>
            </w:pPr>
            <w:r w:rsidRPr="0085125A">
              <w:rPr>
                <w:sz w:val="20"/>
                <w:szCs w:val="20"/>
              </w:rPr>
              <w:t>-0.123</w:t>
            </w:r>
          </w:p>
        </w:tc>
        <w:tc>
          <w:tcPr>
            <w:tcW w:w="1099" w:type="dxa"/>
            <w:tcBorders>
              <w:top w:val="nil"/>
              <w:left w:val="nil"/>
              <w:bottom w:val="nil"/>
              <w:right w:val="nil"/>
            </w:tcBorders>
            <w:shd w:val="clear" w:color="auto" w:fill="auto"/>
            <w:vAlign w:val="center"/>
            <w:hideMark/>
          </w:tcPr>
          <w:p w14:paraId="51184EE8" w14:textId="77777777" w:rsidR="0089194A" w:rsidRPr="0085125A" w:rsidRDefault="0089194A">
            <w:pPr>
              <w:jc w:val="center"/>
              <w:rPr>
                <w:sz w:val="20"/>
                <w:szCs w:val="20"/>
              </w:rPr>
            </w:pPr>
            <w:r w:rsidRPr="0085125A">
              <w:rPr>
                <w:sz w:val="20"/>
                <w:szCs w:val="20"/>
              </w:rPr>
              <w:t>0.0687</w:t>
            </w:r>
          </w:p>
        </w:tc>
        <w:tc>
          <w:tcPr>
            <w:tcW w:w="1050" w:type="dxa"/>
            <w:tcBorders>
              <w:top w:val="nil"/>
              <w:left w:val="nil"/>
              <w:bottom w:val="nil"/>
              <w:right w:val="nil"/>
            </w:tcBorders>
            <w:shd w:val="clear" w:color="auto" w:fill="auto"/>
            <w:vAlign w:val="center"/>
            <w:hideMark/>
          </w:tcPr>
          <w:p w14:paraId="2C97EA15" w14:textId="77777777" w:rsidR="0089194A" w:rsidRPr="0085125A" w:rsidRDefault="0089194A">
            <w:pPr>
              <w:jc w:val="center"/>
              <w:rPr>
                <w:sz w:val="20"/>
                <w:szCs w:val="20"/>
              </w:rPr>
            </w:pPr>
            <w:r w:rsidRPr="0085125A">
              <w:rPr>
                <w:sz w:val="20"/>
                <w:szCs w:val="20"/>
              </w:rPr>
              <w:t>-1.359***</w:t>
            </w:r>
          </w:p>
        </w:tc>
        <w:tc>
          <w:tcPr>
            <w:tcW w:w="1166" w:type="dxa"/>
            <w:tcBorders>
              <w:top w:val="nil"/>
              <w:left w:val="nil"/>
              <w:bottom w:val="nil"/>
              <w:right w:val="nil"/>
            </w:tcBorders>
            <w:shd w:val="clear" w:color="auto" w:fill="auto"/>
            <w:vAlign w:val="center"/>
            <w:hideMark/>
          </w:tcPr>
          <w:p w14:paraId="5AFBEC43" w14:textId="77777777" w:rsidR="0089194A" w:rsidRPr="0085125A" w:rsidRDefault="0089194A">
            <w:pPr>
              <w:jc w:val="center"/>
              <w:rPr>
                <w:sz w:val="20"/>
                <w:szCs w:val="20"/>
              </w:rPr>
            </w:pPr>
            <w:r w:rsidRPr="0085125A">
              <w:rPr>
                <w:sz w:val="20"/>
                <w:szCs w:val="20"/>
              </w:rPr>
              <w:t>-0.0608*</w:t>
            </w:r>
          </w:p>
        </w:tc>
        <w:tc>
          <w:tcPr>
            <w:tcW w:w="1114" w:type="dxa"/>
            <w:tcBorders>
              <w:top w:val="nil"/>
              <w:left w:val="nil"/>
              <w:bottom w:val="nil"/>
              <w:right w:val="nil"/>
            </w:tcBorders>
            <w:shd w:val="clear" w:color="auto" w:fill="auto"/>
            <w:vAlign w:val="center"/>
            <w:hideMark/>
          </w:tcPr>
          <w:p w14:paraId="0DA3AEDE" w14:textId="77777777" w:rsidR="0089194A" w:rsidRPr="0085125A" w:rsidRDefault="0089194A">
            <w:pPr>
              <w:jc w:val="center"/>
              <w:rPr>
                <w:sz w:val="20"/>
                <w:szCs w:val="20"/>
              </w:rPr>
            </w:pPr>
            <w:r w:rsidRPr="0085125A">
              <w:rPr>
                <w:sz w:val="20"/>
                <w:szCs w:val="20"/>
              </w:rPr>
              <w:t>5.141</w:t>
            </w:r>
          </w:p>
        </w:tc>
        <w:tc>
          <w:tcPr>
            <w:tcW w:w="1080" w:type="dxa"/>
            <w:tcBorders>
              <w:top w:val="nil"/>
              <w:left w:val="nil"/>
              <w:bottom w:val="nil"/>
              <w:right w:val="nil"/>
            </w:tcBorders>
            <w:shd w:val="clear" w:color="auto" w:fill="auto"/>
            <w:vAlign w:val="center"/>
            <w:hideMark/>
          </w:tcPr>
          <w:p w14:paraId="5B783D09" w14:textId="77777777" w:rsidR="0089194A" w:rsidRPr="0085125A" w:rsidRDefault="0089194A">
            <w:pPr>
              <w:jc w:val="center"/>
              <w:rPr>
                <w:sz w:val="20"/>
                <w:szCs w:val="20"/>
              </w:rPr>
            </w:pPr>
            <w:r w:rsidRPr="0085125A">
              <w:rPr>
                <w:sz w:val="20"/>
                <w:szCs w:val="20"/>
              </w:rPr>
              <w:t>83.23</w:t>
            </w:r>
          </w:p>
        </w:tc>
        <w:tc>
          <w:tcPr>
            <w:tcW w:w="1170" w:type="dxa"/>
            <w:gridSpan w:val="2"/>
            <w:tcBorders>
              <w:top w:val="nil"/>
              <w:left w:val="nil"/>
              <w:bottom w:val="nil"/>
              <w:right w:val="nil"/>
            </w:tcBorders>
            <w:shd w:val="clear" w:color="auto" w:fill="auto"/>
            <w:vAlign w:val="center"/>
            <w:hideMark/>
          </w:tcPr>
          <w:p w14:paraId="2ECA5990" w14:textId="77777777" w:rsidR="0089194A" w:rsidRPr="0085125A" w:rsidRDefault="0089194A">
            <w:pPr>
              <w:jc w:val="center"/>
              <w:rPr>
                <w:sz w:val="20"/>
                <w:szCs w:val="20"/>
              </w:rPr>
            </w:pPr>
            <w:r w:rsidRPr="0085125A">
              <w:rPr>
                <w:sz w:val="20"/>
                <w:szCs w:val="20"/>
              </w:rPr>
              <w:t>0.763</w:t>
            </w:r>
          </w:p>
        </w:tc>
      </w:tr>
      <w:tr w:rsidR="0089194A" w:rsidRPr="0085125A" w14:paraId="7F6CA7E4" w14:textId="77777777" w:rsidTr="00B417EC">
        <w:trPr>
          <w:trHeight w:val="300"/>
        </w:trPr>
        <w:tc>
          <w:tcPr>
            <w:tcW w:w="1339" w:type="dxa"/>
            <w:tcBorders>
              <w:top w:val="nil"/>
              <w:left w:val="nil"/>
              <w:bottom w:val="nil"/>
              <w:right w:val="nil"/>
            </w:tcBorders>
            <w:shd w:val="clear" w:color="auto" w:fill="auto"/>
            <w:vAlign w:val="center"/>
            <w:hideMark/>
          </w:tcPr>
          <w:p w14:paraId="18417A94"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23084141" w14:textId="77777777" w:rsidR="0089194A" w:rsidRPr="0085125A" w:rsidRDefault="0089194A">
            <w:pPr>
              <w:jc w:val="center"/>
              <w:rPr>
                <w:sz w:val="20"/>
                <w:szCs w:val="20"/>
              </w:rPr>
            </w:pPr>
            <w:r w:rsidRPr="0085125A">
              <w:rPr>
                <w:sz w:val="20"/>
                <w:szCs w:val="20"/>
              </w:rPr>
              <w:t>-0.282</w:t>
            </w:r>
          </w:p>
        </w:tc>
        <w:tc>
          <w:tcPr>
            <w:tcW w:w="1099" w:type="dxa"/>
            <w:tcBorders>
              <w:top w:val="nil"/>
              <w:left w:val="nil"/>
              <w:bottom w:val="nil"/>
              <w:right w:val="nil"/>
            </w:tcBorders>
            <w:shd w:val="clear" w:color="auto" w:fill="auto"/>
            <w:vAlign w:val="center"/>
            <w:hideMark/>
          </w:tcPr>
          <w:p w14:paraId="0EBC2B04" w14:textId="77777777" w:rsidR="0089194A" w:rsidRPr="0085125A" w:rsidRDefault="0089194A">
            <w:pPr>
              <w:jc w:val="center"/>
              <w:rPr>
                <w:sz w:val="20"/>
                <w:szCs w:val="20"/>
              </w:rPr>
            </w:pPr>
            <w:r w:rsidRPr="0085125A">
              <w:rPr>
                <w:sz w:val="20"/>
                <w:szCs w:val="20"/>
              </w:rPr>
              <w:t>-0.442</w:t>
            </w:r>
          </w:p>
        </w:tc>
        <w:tc>
          <w:tcPr>
            <w:tcW w:w="1050" w:type="dxa"/>
            <w:tcBorders>
              <w:top w:val="nil"/>
              <w:left w:val="nil"/>
              <w:bottom w:val="nil"/>
              <w:right w:val="nil"/>
            </w:tcBorders>
            <w:shd w:val="clear" w:color="auto" w:fill="auto"/>
            <w:vAlign w:val="center"/>
            <w:hideMark/>
          </w:tcPr>
          <w:p w14:paraId="63CAE81B" w14:textId="77777777" w:rsidR="0089194A" w:rsidRPr="0085125A" w:rsidRDefault="0089194A">
            <w:pPr>
              <w:jc w:val="center"/>
              <w:rPr>
                <w:sz w:val="20"/>
                <w:szCs w:val="20"/>
              </w:rPr>
            </w:pPr>
            <w:r w:rsidRPr="0085125A">
              <w:rPr>
                <w:sz w:val="20"/>
                <w:szCs w:val="20"/>
              </w:rPr>
              <w:t>-0.418</w:t>
            </w:r>
          </w:p>
        </w:tc>
        <w:tc>
          <w:tcPr>
            <w:tcW w:w="1166" w:type="dxa"/>
            <w:tcBorders>
              <w:top w:val="nil"/>
              <w:left w:val="nil"/>
              <w:bottom w:val="nil"/>
              <w:right w:val="nil"/>
            </w:tcBorders>
            <w:shd w:val="clear" w:color="auto" w:fill="auto"/>
            <w:vAlign w:val="center"/>
            <w:hideMark/>
          </w:tcPr>
          <w:p w14:paraId="7A3741BA" w14:textId="77777777" w:rsidR="0089194A" w:rsidRPr="0085125A" w:rsidRDefault="0089194A">
            <w:pPr>
              <w:jc w:val="center"/>
              <w:rPr>
                <w:sz w:val="20"/>
                <w:szCs w:val="20"/>
              </w:rPr>
            </w:pPr>
            <w:r w:rsidRPr="0085125A">
              <w:rPr>
                <w:sz w:val="20"/>
                <w:szCs w:val="20"/>
              </w:rPr>
              <w:t>-0.0317</w:t>
            </w:r>
          </w:p>
        </w:tc>
        <w:tc>
          <w:tcPr>
            <w:tcW w:w="1114" w:type="dxa"/>
            <w:tcBorders>
              <w:top w:val="nil"/>
              <w:left w:val="nil"/>
              <w:bottom w:val="nil"/>
              <w:right w:val="nil"/>
            </w:tcBorders>
            <w:shd w:val="clear" w:color="auto" w:fill="auto"/>
            <w:vAlign w:val="center"/>
            <w:hideMark/>
          </w:tcPr>
          <w:p w14:paraId="34E16851" w14:textId="77777777" w:rsidR="0089194A" w:rsidRPr="0085125A" w:rsidRDefault="0089194A">
            <w:pPr>
              <w:jc w:val="center"/>
              <w:rPr>
                <w:sz w:val="20"/>
                <w:szCs w:val="20"/>
              </w:rPr>
            </w:pPr>
            <w:r w:rsidRPr="0085125A">
              <w:rPr>
                <w:sz w:val="20"/>
                <w:szCs w:val="20"/>
              </w:rPr>
              <w:t>-7.338</w:t>
            </w:r>
          </w:p>
        </w:tc>
        <w:tc>
          <w:tcPr>
            <w:tcW w:w="1080" w:type="dxa"/>
            <w:tcBorders>
              <w:top w:val="nil"/>
              <w:left w:val="nil"/>
              <w:bottom w:val="nil"/>
              <w:right w:val="nil"/>
            </w:tcBorders>
            <w:shd w:val="clear" w:color="auto" w:fill="auto"/>
            <w:vAlign w:val="center"/>
            <w:hideMark/>
          </w:tcPr>
          <w:p w14:paraId="466BCD0F" w14:textId="77777777" w:rsidR="0089194A" w:rsidRPr="0085125A" w:rsidRDefault="0089194A">
            <w:pPr>
              <w:jc w:val="center"/>
              <w:rPr>
                <w:sz w:val="20"/>
                <w:szCs w:val="20"/>
              </w:rPr>
            </w:pPr>
            <w:r w:rsidRPr="0085125A">
              <w:rPr>
                <w:sz w:val="20"/>
                <w:szCs w:val="20"/>
              </w:rPr>
              <w:t>-57.32</w:t>
            </w:r>
          </w:p>
        </w:tc>
        <w:tc>
          <w:tcPr>
            <w:tcW w:w="1170" w:type="dxa"/>
            <w:gridSpan w:val="2"/>
            <w:tcBorders>
              <w:top w:val="nil"/>
              <w:left w:val="nil"/>
              <w:bottom w:val="nil"/>
              <w:right w:val="nil"/>
            </w:tcBorders>
            <w:shd w:val="clear" w:color="auto" w:fill="auto"/>
            <w:vAlign w:val="center"/>
            <w:hideMark/>
          </w:tcPr>
          <w:p w14:paraId="30A685ED" w14:textId="77777777" w:rsidR="0089194A" w:rsidRPr="0085125A" w:rsidRDefault="0089194A">
            <w:pPr>
              <w:jc w:val="center"/>
              <w:rPr>
                <w:sz w:val="20"/>
                <w:szCs w:val="20"/>
              </w:rPr>
            </w:pPr>
            <w:r w:rsidRPr="0085125A">
              <w:rPr>
                <w:sz w:val="20"/>
                <w:szCs w:val="20"/>
              </w:rPr>
              <w:t>-0.612</w:t>
            </w:r>
          </w:p>
        </w:tc>
      </w:tr>
      <w:tr w:rsidR="0089194A" w:rsidRPr="0085125A" w14:paraId="724A028A" w14:textId="77777777" w:rsidTr="00B417EC">
        <w:trPr>
          <w:trHeight w:val="300"/>
        </w:trPr>
        <w:tc>
          <w:tcPr>
            <w:tcW w:w="1339" w:type="dxa"/>
            <w:tcBorders>
              <w:top w:val="nil"/>
              <w:left w:val="nil"/>
              <w:bottom w:val="nil"/>
              <w:right w:val="nil"/>
            </w:tcBorders>
            <w:shd w:val="clear" w:color="auto" w:fill="auto"/>
            <w:vAlign w:val="center"/>
            <w:hideMark/>
          </w:tcPr>
          <w:p w14:paraId="0671CB05" w14:textId="77777777" w:rsidR="0089194A" w:rsidRPr="0085125A" w:rsidRDefault="0089194A">
            <w:pPr>
              <w:jc w:val="both"/>
              <w:rPr>
                <w:sz w:val="20"/>
                <w:szCs w:val="20"/>
              </w:rPr>
            </w:pPr>
            <w:r w:rsidRPr="0085125A">
              <w:rPr>
                <w:sz w:val="20"/>
                <w:szCs w:val="20"/>
              </w:rPr>
              <w:t>LD.LGDP</w:t>
            </w:r>
          </w:p>
        </w:tc>
        <w:tc>
          <w:tcPr>
            <w:tcW w:w="1072" w:type="dxa"/>
            <w:tcBorders>
              <w:top w:val="nil"/>
              <w:left w:val="nil"/>
              <w:bottom w:val="nil"/>
              <w:right w:val="nil"/>
            </w:tcBorders>
            <w:shd w:val="clear" w:color="auto" w:fill="auto"/>
            <w:vAlign w:val="center"/>
            <w:hideMark/>
          </w:tcPr>
          <w:p w14:paraId="56863597" w14:textId="77777777" w:rsidR="0089194A" w:rsidRPr="0085125A" w:rsidRDefault="0089194A">
            <w:pPr>
              <w:jc w:val="center"/>
              <w:rPr>
                <w:sz w:val="20"/>
                <w:szCs w:val="20"/>
              </w:rPr>
            </w:pPr>
            <w:r w:rsidRPr="0085125A">
              <w:rPr>
                <w:sz w:val="20"/>
                <w:szCs w:val="20"/>
              </w:rPr>
              <w:t>-0.0709</w:t>
            </w:r>
          </w:p>
        </w:tc>
        <w:tc>
          <w:tcPr>
            <w:tcW w:w="1099" w:type="dxa"/>
            <w:tcBorders>
              <w:top w:val="nil"/>
              <w:left w:val="nil"/>
              <w:bottom w:val="nil"/>
              <w:right w:val="nil"/>
            </w:tcBorders>
            <w:shd w:val="clear" w:color="auto" w:fill="auto"/>
            <w:vAlign w:val="center"/>
            <w:hideMark/>
          </w:tcPr>
          <w:p w14:paraId="75C2B33A" w14:textId="77777777" w:rsidR="0089194A" w:rsidRPr="0085125A" w:rsidRDefault="0089194A">
            <w:pPr>
              <w:jc w:val="center"/>
              <w:rPr>
                <w:sz w:val="20"/>
                <w:szCs w:val="20"/>
              </w:rPr>
            </w:pPr>
            <w:r w:rsidRPr="0085125A">
              <w:rPr>
                <w:sz w:val="20"/>
                <w:szCs w:val="20"/>
              </w:rPr>
              <w:t>-0.213</w:t>
            </w:r>
          </w:p>
        </w:tc>
        <w:tc>
          <w:tcPr>
            <w:tcW w:w="1050" w:type="dxa"/>
            <w:tcBorders>
              <w:top w:val="nil"/>
              <w:left w:val="nil"/>
              <w:bottom w:val="nil"/>
              <w:right w:val="nil"/>
            </w:tcBorders>
            <w:shd w:val="clear" w:color="auto" w:fill="auto"/>
            <w:vAlign w:val="center"/>
            <w:hideMark/>
          </w:tcPr>
          <w:p w14:paraId="49629BF3" w14:textId="77777777" w:rsidR="0089194A" w:rsidRPr="0085125A" w:rsidRDefault="0089194A">
            <w:pPr>
              <w:jc w:val="center"/>
              <w:rPr>
                <w:sz w:val="20"/>
                <w:szCs w:val="20"/>
              </w:rPr>
            </w:pPr>
            <w:r w:rsidRPr="0085125A">
              <w:rPr>
                <w:sz w:val="20"/>
                <w:szCs w:val="20"/>
              </w:rPr>
              <w:t>-1.866***</w:t>
            </w:r>
          </w:p>
        </w:tc>
        <w:tc>
          <w:tcPr>
            <w:tcW w:w="1166" w:type="dxa"/>
            <w:tcBorders>
              <w:top w:val="nil"/>
              <w:left w:val="nil"/>
              <w:bottom w:val="nil"/>
              <w:right w:val="nil"/>
            </w:tcBorders>
            <w:shd w:val="clear" w:color="auto" w:fill="auto"/>
            <w:vAlign w:val="center"/>
            <w:hideMark/>
          </w:tcPr>
          <w:p w14:paraId="6705980F" w14:textId="77777777" w:rsidR="0089194A" w:rsidRPr="0085125A" w:rsidRDefault="0089194A">
            <w:pPr>
              <w:jc w:val="center"/>
              <w:rPr>
                <w:sz w:val="20"/>
                <w:szCs w:val="20"/>
              </w:rPr>
            </w:pPr>
            <w:r w:rsidRPr="0085125A">
              <w:rPr>
                <w:sz w:val="20"/>
                <w:szCs w:val="20"/>
              </w:rPr>
              <w:t>-0.150***</w:t>
            </w:r>
          </w:p>
        </w:tc>
        <w:tc>
          <w:tcPr>
            <w:tcW w:w="1114" w:type="dxa"/>
            <w:tcBorders>
              <w:top w:val="nil"/>
              <w:left w:val="nil"/>
              <w:bottom w:val="nil"/>
              <w:right w:val="nil"/>
            </w:tcBorders>
            <w:shd w:val="clear" w:color="auto" w:fill="auto"/>
            <w:vAlign w:val="center"/>
            <w:hideMark/>
          </w:tcPr>
          <w:p w14:paraId="5CA76F09" w14:textId="77777777" w:rsidR="0089194A" w:rsidRPr="0085125A" w:rsidRDefault="0089194A">
            <w:pPr>
              <w:jc w:val="center"/>
              <w:rPr>
                <w:sz w:val="20"/>
                <w:szCs w:val="20"/>
              </w:rPr>
            </w:pPr>
            <w:r w:rsidRPr="0085125A">
              <w:rPr>
                <w:sz w:val="20"/>
                <w:szCs w:val="20"/>
              </w:rPr>
              <w:t>2.658</w:t>
            </w:r>
          </w:p>
        </w:tc>
        <w:tc>
          <w:tcPr>
            <w:tcW w:w="1080" w:type="dxa"/>
            <w:tcBorders>
              <w:top w:val="nil"/>
              <w:left w:val="nil"/>
              <w:bottom w:val="nil"/>
              <w:right w:val="nil"/>
            </w:tcBorders>
            <w:shd w:val="clear" w:color="auto" w:fill="auto"/>
            <w:vAlign w:val="center"/>
            <w:hideMark/>
          </w:tcPr>
          <w:p w14:paraId="1E5B8237" w14:textId="77777777" w:rsidR="0089194A" w:rsidRPr="0085125A" w:rsidRDefault="0089194A">
            <w:pPr>
              <w:jc w:val="center"/>
              <w:rPr>
                <w:sz w:val="20"/>
                <w:szCs w:val="20"/>
              </w:rPr>
            </w:pPr>
            <w:r w:rsidRPr="0085125A">
              <w:rPr>
                <w:sz w:val="20"/>
                <w:szCs w:val="20"/>
              </w:rPr>
              <w:t>-108.9**</w:t>
            </w:r>
          </w:p>
        </w:tc>
        <w:tc>
          <w:tcPr>
            <w:tcW w:w="1170" w:type="dxa"/>
            <w:gridSpan w:val="2"/>
            <w:tcBorders>
              <w:top w:val="nil"/>
              <w:left w:val="nil"/>
              <w:bottom w:val="nil"/>
              <w:right w:val="nil"/>
            </w:tcBorders>
            <w:shd w:val="clear" w:color="auto" w:fill="auto"/>
            <w:vAlign w:val="center"/>
            <w:hideMark/>
          </w:tcPr>
          <w:p w14:paraId="379F3892" w14:textId="77777777" w:rsidR="0089194A" w:rsidRPr="0085125A" w:rsidRDefault="0089194A">
            <w:pPr>
              <w:jc w:val="center"/>
              <w:rPr>
                <w:sz w:val="20"/>
                <w:szCs w:val="20"/>
              </w:rPr>
            </w:pPr>
            <w:r w:rsidRPr="0085125A">
              <w:rPr>
                <w:sz w:val="20"/>
                <w:szCs w:val="20"/>
              </w:rPr>
              <w:t>-0.408</w:t>
            </w:r>
          </w:p>
        </w:tc>
      </w:tr>
      <w:tr w:rsidR="0089194A" w:rsidRPr="0085125A" w14:paraId="7FBE04E5" w14:textId="77777777" w:rsidTr="00B417EC">
        <w:trPr>
          <w:trHeight w:val="300"/>
        </w:trPr>
        <w:tc>
          <w:tcPr>
            <w:tcW w:w="1339" w:type="dxa"/>
            <w:tcBorders>
              <w:top w:val="nil"/>
              <w:left w:val="nil"/>
              <w:bottom w:val="nil"/>
              <w:right w:val="nil"/>
            </w:tcBorders>
            <w:shd w:val="clear" w:color="auto" w:fill="auto"/>
            <w:vAlign w:val="center"/>
            <w:hideMark/>
          </w:tcPr>
          <w:p w14:paraId="1C506F9B"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54D6505E" w14:textId="77777777" w:rsidR="0089194A" w:rsidRPr="0085125A" w:rsidRDefault="0089194A">
            <w:pPr>
              <w:jc w:val="center"/>
              <w:rPr>
                <w:sz w:val="20"/>
                <w:szCs w:val="20"/>
              </w:rPr>
            </w:pPr>
            <w:r w:rsidRPr="0085125A">
              <w:rPr>
                <w:sz w:val="20"/>
                <w:szCs w:val="20"/>
              </w:rPr>
              <w:t>-0.225</w:t>
            </w:r>
          </w:p>
        </w:tc>
        <w:tc>
          <w:tcPr>
            <w:tcW w:w="1099" w:type="dxa"/>
            <w:tcBorders>
              <w:top w:val="nil"/>
              <w:left w:val="nil"/>
              <w:bottom w:val="nil"/>
              <w:right w:val="nil"/>
            </w:tcBorders>
            <w:shd w:val="clear" w:color="auto" w:fill="auto"/>
            <w:vAlign w:val="center"/>
            <w:hideMark/>
          </w:tcPr>
          <w:p w14:paraId="3CD615CB" w14:textId="77777777" w:rsidR="0089194A" w:rsidRPr="0085125A" w:rsidRDefault="0089194A">
            <w:pPr>
              <w:jc w:val="center"/>
              <w:rPr>
                <w:sz w:val="20"/>
                <w:szCs w:val="20"/>
              </w:rPr>
            </w:pPr>
            <w:r w:rsidRPr="0085125A">
              <w:rPr>
                <w:sz w:val="20"/>
                <w:szCs w:val="20"/>
              </w:rPr>
              <w:t>-0.351</w:t>
            </w:r>
          </w:p>
        </w:tc>
        <w:tc>
          <w:tcPr>
            <w:tcW w:w="1050" w:type="dxa"/>
            <w:tcBorders>
              <w:top w:val="nil"/>
              <w:left w:val="nil"/>
              <w:bottom w:val="nil"/>
              <w:right w:val="nil"/>
            </w:tcBorders>
            <w:shd w:val="clear" w:color="auto" w:fill="auto"/>
            <w:vAlign w:val="center"/>
            <w:hideMark/>
          </w:tcPr>
          <w:p w14:paraId="7C0ED8F2" w14:textId="77777777" w:rsidR="0089194A" w:rsidRPr="0085125A" w:rsidRDefault="0089194A">
            <w:pPr>
              <w:jc w:val="center"/>
              <w:rPr>
                <w:sz w:val="20"/>
                <w:szCs w:val="20"/>
              </w:rPr>
            </w:pPr>
            <w:r w:rsidRPr="0085125A">
              <w:rPr>
                <w:sz w:val="20"/>
                <w:szCs w:val="20"/>
              </w:rPr>
              <w:t>-0.332</w:t>
            </w:r>
          </w:p>
        </w:tc>
        <w:tc>
          <w:tcPr>
            <w:tcW w:w="1166" w:type="dxa"/>
            <w:tcBorders>
              <w:top w:val="nil"/>
              <w:left w:val="nil"/>
              <w:bottom w:val="nil"/>
              <w:right w:val="nil"/>
            </w:tcBorders>
            <w:shd w:val="clear" w:color="auto" w:fill="auto"/>
            <w:vAlign w:val="center"/>
            <w:hideMark/>
          </w:tcPr>
          <w:p w14:paraId="60A5B1B3" w14:textId="77777777" w:rsidR="0089194A" w:rsidRPr="0085125A" w:rsidRDefault="0089194A">
            <w:pPr>
              <w:jc w:val="center"/>
              <w:rPr>
                <w:sz w:val="20"/>
                <w:szCs w:val="20"/>
              </w:rPr>
            </w:pPr>
            <w:r w:rsidRPr="0085125A">
              <w:rPr>
                <w:sz w:val="20"/>
                <w:szCs w:val="20"/>
              </w:rPr>
              <w:t>-0.0252</w:t>
            </w:r>
          </w:p>
        </w:tc>
        <w:tc>
          <w:tcPr>
            <w:tcW w:w="1114" w:type="dxa"/>
            <w:tcBorders>
              <w:top w:val="nil"/>
              <w:left w:val="nil"/>
              <w:bottom w:val="nil"/>
              <w:right w:val="nil"/>
            </w:tcBorders>
            <w:shd w:val="clear" w:color="auto" w:fill="auto"/>
            <w:vAlign w:val="center"/>
            <w:hideMark/>
          </w:tcPr>
          <w:p w14:paraId="4F9F0E8C" w14:textId="77777777" w:rsidR="0089194A" w:rsidRPr="0085125A" w:rsidRDefault="0089194A">
            <w:pPr>
              <w:jc w:val="center"/>
              <w:rPr>
                <w:sz w:val="20"/>
                <w:szCs w:val="20"/>
              </w:rPr>
            </w:pPr>
            <w:r w:rsidRPr="0085125A">
              <w:rPr>
                <w:sz w:val="20"/>
                <w:szCs w:val="20"/>
              </w:rPr>
              <w:t>-5.832</w:t>
            </w:r>
          </w:p>
        </w:tc>
        <w:tc>
          <w:tcPr>
            <w:tcW w:w="1080" w:type="dxa"/>
            <w:tcBorders>
              <w:top w:val="nil"/>
              <w:left w:val="nil"/>
              <w:bottom w:val="nil"/>
              <w:right w:val="nil"/>
            </w:tcBorders>
            <w:shd w:val="clear" w:color="auto" w:fill="auto"/>
            <w:vAlign w:val="center"/>
            <w:hideMark/>
          </w:tcPr>
          <w:p w14:paraId="23FDE7A1" w14:textId="77777777" w:rsidR="0089194A" w:rsidRPr="0085125A" w:rsidRDefault="0089194A">
            <w:pPr>
              <w:jc w:val="center"/>
              <w:rPr>
                <w:sz w:val="20"/>
                <w:szCs w:val="20"/>
              </w:rPr>
            </w:pPr>
            <w:r w:rsidRPr="0085125A">
              <w:rPr>
                <w:sz w:val="20"/>
                <w:szCs w:val="20"/>
              </w:rPr>
              <w:t>-45.56</w:t>
            </w:r>
          </w:p>
        </w:tc>
        <w:tc>
          <w:tcPr>
            <w:tcW w:w="1170" w:type="dxa"/>
            <w:gridSpan w:val="2"/>
            <w:tcBorders>
              <w:top w:val="nil"/>
              <w:left w:val="nil"/>
              <w:bottom w:val="nil"/>
              <w:right w:val="nil"/>
            </w:tcBorders>
            <w:shd w:val="clear" w:color="auto" w:fill="auto"/>
            <w:vAlign w:val="center"/>
            <w:hideMark/>
          </w:tcPr>
          <w:p w14:paraId="5EABCC00" w14:textId="77777777" w:rsidR="0089194A" w:rsidRPr="0085125A" w:rsidRDefault="0089194A">
            <w:pPr>
              <w:jc w:val="center"/>
              <w:rPr>
                <w:sz w:val="20"/>
                <w:szCs w:val="20"/>
              </w:rPr>
            </w:pPr>
            <w:r w:rsidRPr="0085125A">
              <w:rPr>
                <w:sz w:val="20"/>
                <w:szCs w:val="20"/>
              </w:rPr>
              <w:t>-0.487</w:t>
            </w:r>
          </w:p>
        </w:tc>
      </w:tr>
      <w:tr w:rsidR="0089194A" w:rsidRPr="0085125A" w14:paraId="1AF73F24" w14:textId="77777777" w:rsidTr="00B417EC">
        <w:trPr>
          <w:trHeight w:val="300"/>
        </w:trPr>
        <w:tc>
          <w:tcPr>
            <w:tcW w:w="1339" w:type="dxa"/>
            <w:tcBorders>
              <w:top w:val="nil"/>
              <w:left w:val="nil"/>
              <w:bottom w:val="nil"/>
              <w:right w:val="nil"/>
            </w:tcBorders>
            <w:shd w:val="clear" w:color="auto" w:fill="auto"/>
            <w:vAlign w:val="center"/>
            <w:hideMark/>
          </w:tcPr>
          <w:p w14:paraId="37CED0C9" w14:textId="77777777" w:rsidR="0089194A" w:rsidRPr="0085125A" w:rsidRDefault="0089194A">
            <w:pPr>
              <w:jc w:val="both"/>
              <w:rPr>
                <w:sz w:val="20"/>
                <w:szCs w:val="20"/>
              </w:rPr>
            </w:pPr>
            <w:r w:rsidRPr="0085125A">
              <w:rPr>
                <w:sz w:val="20"/>
                <w:szCs w:val="20"/>
              </w:rPr>
              <w:t>L2D.LGDP</w:t>
            </w:r>
          </w:p>
        </w:tc>
        <w:tc>
          <w:tcPr>
            <w:tcW w:w="1072" w:type="dxa"/>
            <w:tcBorders>
              <w:top w:val="nil"/>
              <w:left w:val="nil"/>
              <w:bottom w:val="nil"/>
              <w:right w:val="nil"/>
            </w:tcBorders>
            <w:shd w:val="clear" w:color="auto" w:fill="auto"/>
            <w:vAlign w:val="center"/>
            <w:hideMark/>
          </w:tcPr>
          <w:p w14:paraId="142C71C9" w14:textId="77777777" w:rsidR="0089194A" w:rsidRPr="0085125A" w:rsidRDefault="0089194A">
            <w:pPr>
              <w:jc w:val="center"/>
              <w:rPr>
                <w:sz w:val="20"/>
                <w:szCs w:val="20"/>
              </w:rPr>
            </w:pPr>
            <w:r w:rsidRPr="0085125A">
              <w:rPr>
                <w:sz w:val="20"/>
                <w:szCs w:val="20"/>
              </w:rPr>
              <w:t>0.302</w:t>
            </w:r>
          </w:p>
        </w:tc>
        <w:tc>
          <w:tcPr>
            <w:tcW w:w="1099" w:type="dxa"/>
            <w:tcBorders>
              <w:top w:val="nil"/>
              <w:left w:val="nil"/>
              <w:bottom w:val="nil"/>
              <w:right w:val="nil"/>
            </w:tcBorders>
            <w:shd w:val="clear" w:color="auto" w:fill="auto"/>
            <w:vAlign w:val="center"/>
            <w:hideMark/>
          </w:tcPr>
          <w:p w14:paraId="0815D96E" w14:textId="77777777" w:rsidR="0089194A" w:rsidRPr="0085125A" w:rsidRDefault="0089194A">
            <w:pPr>
              <w:jc w:val="center"/>
              <w:rPr>
                <w:sz w:val="20"/>
                <w:szCs w:val="20"/>
              </w:rPr>
            </w:pPr>
            <w:r w:rsidRPr="0085125A">
              <w:rPr>
                <w:sz w:val="20"/>
                <w:szCs w:val="20"/>
              </w:rPr>
              <w:t>0.386</w:t>
            </w:r>
          </w:p>
        </w:tc>
        <w:tc>
          <w:tcPr>
            <w:tcW w:w="1050" w:type="dxa"/>
            <w:tcBorders>
              <w:top w:val="nil"/>
              <w:left w:val="nil"/>
              <w:bottom w:val="nil"/>
              <w:right w:val="nil"/>
            </w:tcBorders>
            <w:shd w:val="clear" w:color="auto" w:fill="auto"/>
            <w:vAlign w:val="center"/>
            <w:hideMark/>
          </w:tcPr>
          <w:p w14:paraId="49430749" w14:textId="77777777" w:rsidR="0089194A" w:rsidRPr="0085125A" w:rsidRDefault="0089194A">
            <w:pPr>
              <w:jc w:val="center"/>
              <w:rPr>
                <w:sz w:val="20"/>
                <w:szCs w:val="20"/>
              </w:rPr>
            </w:pPr>
            <w:r w:rsidRPr="0085125A">
              <w:rPr>
                <w:sz w:val="20"/>
                <w:szCs w:val="20"/>
              </w:rPr>
              <w:t>-1.170**</w:t>
            </w:r>
          </w:p>
        </w:tc>
        <w:tc>
          <w:tcPr>
            <w:tcW w:w="1166" w:type="dxa"/>
            <w:tcBorders>
              <w:top w:val="nil"/>
              <w:left w:val="nil"/>
              <w:bottom w:val="nil"/>
              <w:right w:val="nil"/>
            </w:tcBorders>
            <w:shd w:val="clear" w:color="auto" w:fill="auto"/>
            <w:vAlign w:val="center"/>
            <w:hideMark/>
          </w:tcPr>
          <w:p w14:paraId="2B7B4972" w14:textId="77777777" w:rsidR="0089194A" w:rsidRPr="0085125A" w:rsidRDefault="0089194A">
            <w:pPr>
              <w:jc w:val="center"/>
              <w:rPr>
                <w:sz w:val="20"/>
                <w:szCs w:val="20"/>
              </w:rPr>
            </w:pPr>
            <w:r w:rsidRPr="0085125A">
              <w:rPr>
                <w:sz w:val="20"/>
                <w:szCs w:val="20"/>
              </w:rPr>
              <w:t>0.0327</w:t>
            </w:r>
          </w:p>
        </w:tc>
        <w:tc>
          <w:tcPr>
            <w:tcW w:w="1114" w:type="dxa"/>
            <w:tcBorders>
              <w:top w:val="nil"/>
              <w:left w:val="nil"/>
              <w:bottom w:val="nil"/>
              <w:right w:val="nil"/>
            </w:tcBorders>
            <w:shd w:val="clear" w:color="auto" w:fill="auto"/>
            <w:vAlign w:val="center"/>
            <w:hideMark/>
          </w:tcPr>
          <w:p w14:paraId="33BD70A8" w14:textId="77777777" w:rsidR="0089194A" w:rsidRPr="0085125A" w:rsidRDefault="0089194A">
            <w:pPr>
              <w:jc w:val="center"/>
              <w:rPr>
                <w:sz w:val="20"/>
                <w:szCs w:val="20"/>
              </w:rPr>
            </w:pPr>
            <w:r w:rsidRPr="0085125A">
              <w:rPr>
                <w:sz w:val="20"/>
                <w:szCs w:val="20"/>
              </w:rPr>
              <w:t>4.062</w:t>
            </w:r>
          </w:p>
        </w:tc>
        <w:tc>
          <w:tcPr>
            <w:tcW w:w="1080" w:type="dxa"/>
            <w:tcBorders>
              <w:top w:val="nil"/>
              <w:left w:val="nil"/>
              <w:bottom w:val="nil"/>
              <w:right w:val="nil"/>
            </w:tcBorders>
            <w:shd w:val="clear" w:color="auto" w:fill="auto"/>
            <w:vAlign w:val="center"/>
            <w:hideMark/>
          </w:tcPr>
          <w:p w14:paraId="0597B97F" w14:textId="77777777" w:rsidR="0089194A" w:rsidRPr="0085125A" w:rsidRDefault="0089194A">
            <w:pPr>
              <w:jc w:val="center"/>
              <w:rPr>
                <w:sz w:val="20"/>
                <w:szCs w:val="20"/>
              </w:rPr>
            </w:pPr>
            <w:r w:rsidRPr="0085125A">
              <w:rPr>
                <w:sz w:val="20"/>
                <w:szCs w:val="20"/>
              </w:rPr>
              <w:t>-1.612</w:t>
            </w:r>
          </w:p>
        </w:tc>
        <w:tc>
          <w:tcPr>
            <w:tcW w:w="1170" w:type="dxa"/>
            <w:gridSpan w:val="2"/>
            <w:tcBorders>
              <w:top w:val="nil"/>
              <w:left w:val="nil"/>
              <w:bottom w:val="nil"/>
              <w:right w:val="nil"/>
            </w:tcBorders>
            <w:shd w:val="clear" w:color="auto" w:fill="auto"/>
            <w:vAlign w:val="center"/>
            <w:hideMark/>
          </w:tcPr>
          <w:p w14:paraId="28B3F629" w14:textId="77777777" w:rsidR="0089194A" w:rsidRPr="0085125A" w:rsidRDefault="0089194A">
            <w:pPr>
              <w:jc w:val="center"/>
              <w:rPr>
                <w:sz w:val="20"/>
                <w:szCs w:val="20"/>
              </w:rPr>
            </w:pPr>
            <w:r w:rsidRPr="0085125A">
              <w:rPr>
                <w:sz w:val="20"/>
                <w:szCs w:val="20"/>
              </w:rPr>
              <w:t>0.202</w:t>
            </w:r>
          </w:p>
        </w:tc>
      </w:tr>
      <w:tr w:rsidR="0089194A" w:rsidRPr="0085125A" w14:paraId="48E5BCAF" w14:textId="77777777" w:rsidTr="00B417EC">
        <w:trPr>
          <w:trHeight w:val="300"/>
        </w:trPr>
        <w:tc>
          <w:tcPr>
            <w:tcW w:w="1339" w:type="dxa"/>
            <w:tcBorders>
              <w:top w:val="nil"/>
              <w:left w:val="nil"/>
              <w:bottom w:val="nil"/>
              <w:right w:val="nil"/>
            </w:tcBorders>
            <w:shd w:val="clear" w:color="auto" w:fill="auto"/>
            <w:vAlign w:val="center"/>
            <w:hideMark/>
          </w:tcPr>
          <w:p w14:paraId="1A3DFD0E"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5721C5AC" w14:textId="77777777" w:rsidR="0089194A" w:rsidRPr="0085125A" w:rsidRDefault="0089194A">
            <w:pPr>
              <w:jc w:val="center"/>
              <w:rPr>
                <w:sz w:val="20"/>
                <w:szCs w:val="20"/>
              </w:rPr>
            </w:pPr>
            <w:r w:rsidRPr="0085125A">
              <w:rPr>
                <w:sz w:val="20"/>
                <w:szCs w:val="20"/>
              </w:rPr>
              <w:t>-0.311</w:t>
            </w:r>
          </w:p>
        </w:tc>
        <w:tc>
          <w:tcPr>
            <w:tcW w:w="1099" w:type="dxa"/>
            <w:tcBorders>
              <w:top w:val="nil"/>
              <w:left w:val="nil"/>
              <w:bottom w:val="nil"/>
              <w:right w:val="nil"/>
            </w:tcBorders>
            <w:shd w:val="clear" w:color="auto" w:fill="auto"/>
            <w:vAlign w:val="center"/>
            <w:hideMark/>
          </w:tcPr>
          <w:p w14:paraId="45A92B2E" w14:textId="77777777" w:rsidR="0089194A" w:rsidRPr="0085125A" w:rsidRDefault="0089194A">
            <w:pPr>
              <w:jc w:val="center"/>
              <w:rPr>
                <w:sz w:val="20"/>
                <w:szCs w:val="20"/>
              </w:rPr>
            </w:pPr>
            <w:r w:rsidRPr="0085125A">
              <w:rPr>
                <w:sz w:val="20"/>
                <w:szCs w:val="20"/>
              </w:rPr>
              <w:t>-0.487</w:t>
            </w:r>
          </w:p>
        </w:tc>
        <w:tc>
          <w:tcPr>
            <w:tcW w:w="1050" w:type="dxa"/>
            <w:tcBorders>
              <w:top w:val="nil"/>
              <w:left w:val="nil"/>
              <w:bottom w:val="nil"/>
              <w:right w:val="nil"/>
            </w:tcBorders>
            <w:shd w:val="clear" w:color="auto" w:fill="auto"/>
            <w:vAlign w:val="center"/>
            <w:hideMark/>
          </w:tcPr>
          <w:p w14:paraId="05EA596F" w14:textId="77777777" w:rsidR="0089194A" w:rsidRPr="0085125A" w:rsidRDefault="0089194A">
            <w:pPr>
              <w:jc w:val="center"/>
              <w:rPr>
                <w:sz w:val="20"/>
                <w:szCs w:val="20"/>
              </w:rPr>
            </w:pPr>
            <w:r w:rsidRPr="0085125A">
              <w:rPr>
                <w:sz w:val="20"/>
                <w:szCs w:val="20"/>
              </w:rPr>
              <w:t>-0.46</w:t>
            </w:r>
          </w:p>
        </w:tc>
        <w:tc>
          <w:tcPr>
            <w:tcW w:w="1166" w:type="dxa"/>
            <w:tcBorders>
              <w:top w:val="nil"/>
              <w:left w:val="nil"/>
              <w:bottom w:val="nil"/>
              <w:right w:val="nil"/>
            </w:tcBorders>
            <w:shd w:val="clear" w:color="auto" w:fill="auto"/>
            <w:vAlign w:val="center"/>
            <w:hideMark/>
          </w:tcPr>
          <w:p w14:paraId="0A75A303" w14:textId="77777777" w:rsidR="0089194A" w:rsidRPr="0085125A" w:rsidRDefault="0089194A">
            <w:pPr>
              <w:jc w:val="center"/>
              <w:rPr>
                <w:sz w:val="20"/>
                <w:szCs w:val="20"/>
              </w:rPr>
            </w:pPr>
            <w:r w:rsidRPr="0085125A">
              <w:rPr>
                <w:sz w:val="20"/>
                <w:szCs w:val="20"/>
              </w:rPr>
              <w:t>-0.0349</w:t>
            </w:r>
          </w:p>
        </w:tc>
        <w:tc>
          <w:tcPr>
            <w:tcW w:w="1114" w:type="dxa"/>
            <w:tcBorders>
              <w:top w:val="nil"/>
              <w:left w:val="nil"/>
              <w:bottom w:val="nil"/>
              <w:right w:val="nil"/>
            </w:tcBorders>
            <w:shd w:val="clear" w:color="auto" w:fill="auto"/>
            <w:vAlign w:val="center"/>
            <w:hideMark/>
          </w:tcPr>
          <w:p w14:paraId="5DFB5998" w14:textId="77777777" w:rsidR="0089194A" w:rsidRPr="0085125A" w:rsidRDefault="0089194A">
            <w:pPr>
              <w:jc w:val="center"/>
              <w:rPr>
                <w:sz w:val="20"/>
                <w:szCs w:val="20"/>
              </w:rPr>
            </w:pPr>
            <w:r w:rsidRPr="0085125A">
              <w:rPr>
                <w:sz w:val="20"/>
                <w:szCs w:val="20"/>
              </w:rPr>
              <w:t>-8.078</w:t>
            </w:r>
          </w:p>
        </w:tc>
        <w:tc>
          <w:tcPr>
            <w:tcW w:w="1080" w:type="dxa"/>
            <w:tcBorders>
              <w:top w:val="nil"/>
              <w:left w:val="nil"/>
              <w:bottom w:val="nil"/>
              <w:right w:val="nil"/>
            </w:tcBorders>
            <w:shd w:val="clear" w:color="auto" w:fill="auto"/>
            <w:vAlign w:val="center"/>
            <w:hideMark/>
          </w:tcPr>
          <w:p w14:paraId="0EA8FC35" w14:textId="77777777" w:rsidR="0089194A" w:rsidRPr="0085125A" w:rsidRDefault="0089194A">
            <w:pPr>
              <w:jc w:val="center"/>
              <w:rPr>
                <w:sz w:val="20"/>
                <w:szCs w:val="20"/>
              </w:rPr>
            </w:pPr>
            <w:r w:rsidRPr="0085125A">
              <w:rPr>
                <w:sz w:val="20"/>
                <w:szCs w:val="20"/>
              </w:rPr>
              <w:t>-63.1</w:t>
            </w:r>
          </w:p>
        </w:tc>
        <w:tc>
          <w:tcPr>
            <w:tcW w:w="1170" w:type="dxa"/>
            <w:gridSpan w:val="2"/>
            <w:tcBorders>
              <w:top w:val="nil"/>
              <w:left w:val="nil"/>
              <w:bottom w:val="nil"/>
              <w:right w:val="nil"/>
            </w:tcBorders>
            <w:shd w:val="clear" w:color="auto" w:fill="auto"/>
            <w:vAlign w:val="center"/>
            <w:hideMark/>
          </w:tcPr>
          <w:p w14:paraId="03E02485" w14:textId="77777777" w:rsidR="0089194A" w:rsidRPr="0085125A" w:rsidRDefault="0089194A">
            <w:pPr>
              <w:jc w:val="center"/>
              <w:rPr>
                <w:sz w:val="20"/>
                <w:szCs w:val="20"/>
              </w:rPr>
            </w:pPr>
            <w:r w:rsidRPr="0085125A">
              <w:rPr>
                <w:sz w:val="20"/>
                <w:szCs w:val="20"/>
              </w:rPr>
              <w:t>-0.674</w:t>
            </w:r>
          </w:p>
        </w:tc>
      </w:tr>
      <w:tr w:rsidR="0089194A" w:rsidRPr="0085125A" w14:paraId="682F1C88" w14:textId="77777777" w:rsidTr="00B417EC">
        <w:trPr>
          <w:trHeight w:val="300"/>
        </w:trPr>
        <w:tc>
          <w:tcPr>
            <w:tcW w:w="1339" w:type="dxa"/>
            <w:tcBorders>
              <w:top w:val="nil"/>
              <w:left w:val="nil"/>
              <w:bottom w:val="nil"/>
              <w:right w:val="nil"/>
            </w:tcBorders>
            <w:shd w:val="clear" w:color="auto" w:fill="auto"/>
            <w:vAlign w:val="center"/>
            <w:hideMark/>
          </w:tcPr>
          <w:p w14:paraId="30847285" w14:textId="77777777" w:rsidR="0089194A" w:rsidRPr="0085125A" w:rsidRDefault="0089194A">
            <w:pPr>
              <w:jc w:val="both"/>
              <w:rPr>
                <w:sz w:val="20"/>
                <w:szCs w:val="20"/>
              </w:rPr>
            </w:pPr>
            <w:r w:rsidRPr="0085125A">
              <w:rPr>
                <w:sz w:val="20"/>
                <w:szCs w:val="20"/>
              </w:rPr>
              <w:t>LD.LToT</w:t>
            </w:r>
          </w:p>
        </w:tc>
        <w:tc>
          <w:tcPr>
            <w:tcW w:w="1072" w:type="dxa"/>
            <w:tcBorders>
              <w:top w:val="nil"/>
              <w:left w:val="nil"/>
              <w:bottom w:val="nil"/>
              <w:right w:val="nil"/>
            </w:tcBorders>
            <w:shd w:val="clear" w:color="auto" w:fill="auto"/>
            <w:vAlign w:val="center"/>
            <w:hideMark/>
          </w:tcPr>
          <w:p w14:paraId="642A3633" w14:textId="77777777" w:rsidR="0089194A" w:rsidRPr="0085125A" w:rsidRDefault="0089194A">
            <w:pPr>
              <w:jc w:val="center"/>
              <w:rPr>
                <w:sz w:val="20"/>
                <w:szCs w:val="20"/>
              </w:rPr>
            </w:pPr>
            <w:r w:rsidRPr="0085125A">
              <w:rPr>
                <w:sz w:val="20"/>
                <w:szCs w:val="20"/>
              </w:rPr>
              <w:t>0.242***</w:t>
            </w:r>
          </w:p>
        </w:tc>
        <w:tc>
          <w:tcPr>
            <w:tcW w:w="1099" w:type="dxa"/>
            <w:tcBorders>
              <w:top w:val="nil"/>
              <w:left w:val="nil"/>
              <w:bottom w:val="nil"/>
              <w:right w:val="nil"/>
            </w:tcBorders>
            <w:shd w:val="clear" w:color="auto" w:fill="auto"/>
            <w:vAlign w:val="center"/>
            <w:hideMark/>
          </w:tcPr>
          <w:p w14:paraId="426E3338" w14:textId="77777777" w:rsidR="0089194A" w:rsidRPr="0085125A" w:rsidRDefault="0089194A">
            <w:pPr>
              <w:jc w:val="center"/>
              <w:rPr>
                <w:sz w:val="20"/>
                <w:szCs w:val="20"/>
              </w:rPr>
            </w:pPr>
            <w:r w:rsidRPr="0085125A">
              <w:rPr>
                <w:sz w:val="20"/>
                <w:szCs w:val="20"/>
              </w:rPr>
              <w:t>0.258***</w:t>
            </w:r>
          </w:p>
        </w:tc>
        <w:tc>
          <w:tcPr>
            <w:tcW w:w="1050" w:type="dxa"/>
            <w:tcBorders>
              <w:top w:val="nil"/>
              <w:left w:val="nil"/>
              <w:bottom w:val="nil"/>
              <w:right w:val="nil"/>
            </w:tcBorders>
            <w:shd w:val="clear" w:color="auto" w:fill="auto"/>
            <w:vAlign w:val="center"/>
            <w:hideMark/>
          </w:tcPr>
          <w:p w14:paraId="18AFCC61" w14:textId="77777777" w:rsidR="0089194A" w:rsidRPr="0085125A" w:rsidRDefault="0089194A">
            <w:pPr>
              <w:jc w:val="center"/>
              <w:rPr>
                <w:sz w:val="20"/>
                <w:szCs w:val="20"/>
              </w:rPr>
            </w:pPr>
            <w:r w:rsidRPr="0085125A">
              <w:rPr>
                <w:sz w:val="20"/>
                <w:szCs w:val="20"/>
              </w:rPr>
              <w:t>1.093***</w:t>
            </w:r>
          </w:p>
        </w:tc>
        <w:tc>
          <w:tcPr>
            <w:tcW w:w="1166" w:type="dxa"/>
            <w:tcBorders>
              <w:top w:val="nil"/>
              <w:left w:val="nil"/>
              <w:bottom w:val="nil"/>
              <w:right w:val="nil"/>
            </w:tcBorders>
            <w:shd w:val="clear" w:color="auto" w:fill="auto"/>
            <w:vAlign w:val="center"/>
            <w:hideMark/>
          </w:tcPr>
          <w:p w14:paraId="2B406155" w14:textId="77777777" w:rsidR="0089194A" w:rsidRPr="0085125A" w:rsidRDefault="0089194A">
            <w:pPr>
              <w:jc w:val="center"/>
              <w:rPr>
                <w:sz w:val="20"/>
                <w:szCs w:val="20"/>
              </w:rPr>
            </w:pPr>
            <w:r w:rsidRPr="0085125A">
              <w:rPr>
                <w:sz w:val="20"/>
                <w:szCs w:val="20"/>
              </w:rPr>
              <w:t>-0.00754*</w:t>
            </w:r>
          </w:p>
        </w:tc>
        <w:tc>
          <w:tcPr>
            <w:tcW w:w="1114" w:type="dxa"/>
            <w:tcBorders>
              <w:top w:val="nil"/>
              <w:left w:val="nil"/>
              <w:bottom w:val="nil"/>
              <w:right w:val="nil"/>
            </w:tcBorders>
            <w:shd w:val="clear" w:color="auto" w:fill="auto"/>
            <w:vAlign w:val="center"/>
            <w:hideMark/>
          </w:tcPr>
          <w:p w14:paraId="5FE2C747" w14:textId="77777777" w:rsidR="0089194A" w:rsidRPr="0085125A" w:rsidRDefault="0089194A">
            <w:pPr>
              <w:jc w:val="center"/>
              <w:rPr>
                <w:sz w:val="20"/>
                <w:szCs w:val="20"/>
              </w:rPr>
            </w:pPr>
            <w:r w:rsidRPr="0085125A">
              <w:rPr>
                <w:sz w:val="20"/>
                <w:szCs w:val="20"/>
              </w:rPr>
              <w:t>3.071***</w:t>
            </w:r>
          </w:p>
        </w:tc>
        <w:tc>
          <w:tcPr>
            <w:tcW w:w="1080" w:type="dxa"/>
            <w:tcBorders>
              <w:top w:val="nil"/>
              <w:left w:val="nil"/>
              <w:bottom w:val="nil"/>
              <w:right w:val="nil"/>
            </w:tcBorders>
            <w:shd w:val="clear" w:color="auto" w:fill="auto"/>
            <w:vAlign w:val="center"/>
            <w:hideMark/>
          </w:tcPr>
          <w:p w14:paraId="1A03E0FC" w14:textId="77777777" w:rsidR="0089194A" w:rsidRPr="0085125A" w:rsidRDefault="0089194A">
            <w:pPr>
              <w:jc w:val="center"/>
              <w:rPr>
                <w:sz w:val="20"/>
                <w:szCs w:val="20"/>
              </w:rPr>
            </w:pPr>
            <w:r w:rsidRPr="0085125A">
              <w:rPr>
                <w:sz w:val="20"/>
                <w:szCs w:val="20"/>
              </w:rPr>
              <w:t>25.44***</w:t>
            </w:r>
          </w:p>
        </w:tc>
        <w:tc>
          <w:tcPr>
            <w:tcW w:w="1170" w:type="dxa"/>
            <w:gridSpan w:val="2"/>
            <w:tcBorders>
              <w:top w:val="nil"/>
              <w:left w:val="nil"/>
              <w:bottom w:val="nil"/>
              <w:right w:val="nil"/>
            </w:tcBorders>
            <w:shd w:val="clear" w:color="auto" w:fill="auto"/>
            <w:vAlign w:val="center"/>
            <w:hideMark/>
          </w:tcPr>
          <w:p w14:paraId="21DAF67F" w14:textId="77777777" w:rsidR="0089194A" w:rsidRPr="0085125A" w:rsidRDefault="0089194A">
            <w:pPr>
              <w:jc w:val="center"/>
              <w:rPr>
                <w:sz w:val="20"/>
                <w:szCs w:val="20"/>
              </w:rPr>
            </w:pPr>
            <w:r w:rsidRPr="0085125A">
              <w:rPr>
                <w:sz w:val="20"/>
                <w:szCs w:val="20"/>
              </w:rPr>
              <w:t>-0.288***</w:t>
            </w:r>
          </w:p>
        </w:tc>
      </w:tr>
      <w:tr w:rsidR="0089194A" w:rsidRPr="0085125A" w14:paraId="3F4E34E1" w14:textId="77777777" w:rsidTr="00B417EC">
        <w:trPr>
          <w:trHeight w:val="300"/>
        </w:trPr>
        <w:tc>
          <w:tcPr>
            <w:tcW w:w="1339" w:type="dxa"/>
            <w:tcBorders>
              <w:top w:val="nil"/>
              <w:left w:val="nil"/>
              <w:bottom w:val="nil"/>
              <w:right w:val="nil"/>
            </w:tcBorders>
            <w:shd w:val="clear" w:color="auto" w:fill="auto"/>
            <w:vAlign w:val="center"/>
            <w:hideMark/>
          </w:tcPr>
          <w:p w14:paraId="726688A9"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6295B3E1" w14:textId="77777777" w:rsidR="0089194A" w:rsidRPr="0085125A" w:rsidRDefault="0089194A">
            <w:pPr>
              <w:jc w:val="center"/>
              <w:rPr>
                <w:sz w:val="20"/>
                <w:szCs w:val="20"/>
              </w:rPr>
            </w:pPr>
            <w:r w:rsidRPr="0085125A">
              <w:rPr>
                <w:sz w:val="20"/>
                <w:szCs w:val="20"/>
              </w:rPr>
              <w:t>-0.0365</w:t>
            </w:r>
          </w:p>
        </w:tc>
        <w:tc>
          <w:tcPr>
            <w:tcW w:w="1099" w:type="dxa"/>
            <w:tcBorders>
              <w:top w:val="nil"/>
              <w:left w:val="nil"/>
              <w:bottom w:val="nil"/>
              <w:right w:val="nil"/>
            </w:tcBorders>
            <w:shd w:val="clear" w:color="auto" w:fill="auto"/>
            <w:vAlign w:val="center"/>
            <w:hideMark/>
          </w:tcPr>
          <w:p w14:paraId="24229B94" w14:textId="77777777" w:rsidR="0089194A" w:rsidRPr="0085125A" w:rsidRDefault="0089194A">
            <w:pPr>
              <w:jc w:val="center"/>
              <w:rPr>
                <w:sz w:val="20"/>
                <w:szCs w:val="20"/>
              </w:rPr>
            </w:pPr>
            <w:r w:rsidRPr="0085125A">
              <w:rPr>
                <w:sz w:val="20"/>
                <w:szCs w:val="20"/>
              </w:rPr>
              <w:t>-0.0571</w:t>
            </w:r>
          </w:p>
        </w:tc>
        <w:tc>
          <w:tcPr>
            <w:tcW w:w="1050" w:type="dxa"/>
            <w:tcBorders>
              <w:top w:val="nil"/>
              <w:left w:val="nil"/>
              <w:bottom w:val="nil"/>
              <w:right w:val="nil"/>
            </w:tcBorders>
            <w:shd w:val="clear" w:color="auto" w:fill="auto"/>
            <w:vAlign w:val="center"/>
            <w:hideMark/>
          </w:tcPr>
          <w:p w14:paraId="5EB73243" w14:textId="77777777" w:rsidR="0089194A" w:rsidRPr="0085125A" w:rsidRDefault="0089194A">
            <w:pPr>
              <w:jc w:val="center"/>
              <w:rPr>
                <w:sz w:val="20"/>
                <w:szCs w:val="20"/>
              </w:rPr>
            </w:pPr>
            <w:r w:rsidRPr="0085125A">
              <w:rPr>
                <w:sz w:val="20"/>
                <w:szCs w:val="20"/>
              </w:rPr>
              <w:t>-0.054</w:t>
            </w:r>
          </w:p>
        </w:tc>
        <w:tc>
          <w:tcPr>
            <w:tcW w:w="1166" w:type="dxa"/>
            <w:tcBorders>
              <w:top w:val="nil"/>
              <w:left w:val="nil"/>
              <w:bottom w:val="nil"/>
              <w:right w:val="nil"/>
            </w:tcBorders>
            <w:shd w:val="clear" w:color="auto" w:fill="auto"/>
            <w:vAlign w:val="center"/>
            <w:hideMark/>
          </w:tcPr>
          <w:p w14:paraId="351028B4" w14:textId="77777777" w:rsidR="0089194A" w:rsidRPr="0085125A" w:rsidRDefault="0089194A">
            <w:pPr>
              <w:jc w:val="center"/>
              <w:rPr>
                <w:sz w:val="20"/>
                <w:szCs w:val="20"/>
              </w:rPr>
            </w:pPr>
            <w:r w:rsidRPr="0085125A">
              <w:rPr>
                <w:sz w:val="20"/>
                <w:szCs w:val="20"/>
              </w:rPr>
              <w:t>-0.00409</w:t>
            </w:r>
          </w:p>
        </w:tc>
        <w:tc>
          <w:tcPr>
            <w:tcW w:w="1114" w:type="dxa"/>
            <w:tcBorders>
              <w:top w:val="nil"/>
              <w:left w:val="nil"/>
              <w:bottom w:val="nil"/>
              <w:right w:val="nil"/>
            </w:tcBorders>
            <w:shd w:val="clear" w:color="auto" w:fill="auto"/>
            <w:vAlign w:val="center"/>
            <w:hideMark/>
          </w:tcPr>
          <w:p w14:paraId="47F65E9A" w14:textId="77777777" w:rsidR="0089194A" w:rsidRPr="0085125A" w:rsidRDefault="0089194A">
            <w:pPr>
              <w:jc w:val="center"/>
              <w:rPr>
                <w:sz w:val="20"/>
                <w:szCs w:val="20"/>
              </w:rPr>
            </w:pPr>
            <w:r w:rsidRPr="0085125A">
              <w:rPr>
                <w:sz w:val="20"/>
                <w:szCs w:val="20"/>
              </w:rPr>
              <w:t>-0.948</w:t>
            </w:r>
          </w:p>
        </w:tc>
        <w:tc>
          <w:tcPr>
            <w:tcW w:w="1080" w:type="dxa"/>
            <w:tcBorders>
              <w:top w:val="nil"/>
              <w:left w:val="nil"/>
              <w:bottom w:val="nil"/>
              <w:right w:val="nil"/>
            </w:tcBorders>
            <w:shd w:val="clear" w:color="auto" w:fill="auto"/>
            <w:vAlign w:val="center"/>
            <w:hideMark/>
          </w:tcPr>
          <w:p w14:paraId="51981249" w14:textId="77777777" w:rsidR="0089194A" w:rsidRPr="0085125A" w:rsidRDefault="0089194A">
            <w:pPr>
              <w:jc w:val="center"/>
              <w:rPr>
                <w:sz w:val="20"/>
                <w:szCs w:val="20"/>
              </w:rPr>
            </w:pPr>
            <w:r w:rsidRPr="0085125A">
              <w:rPr>
                <w:sz w:val="20"/>
                <w:szCs w:val="20"/>
              </w:rPr>
              <w:t>-7.404</w:t>
            </w:r>
          </w:p>
        </w:tc>
        <w:tc>
          <w:tcPr>
            <w:tcW w:w="1170" w:type="dxa"/>
            <w:gridSpan w:val="2"/>
            <w:tcBorders>
              <w:top w:val="nil"/>
              <w:left w:val="nil"/>
              <w:bottom w:val="nil"/>
              <w:right w:val="nil"/>
            </w:tcBorders>
            <w:shd w:val="clear" w:color="auto" w:fill="auto"/>
            <w:vAlign w:val="center"/>
            <w:hideMark/>
          </w:tcPr>
          <w:p w14:paraId="52025A47" w14:textId="77777777" w:rsidR="0089194A" w:rsidRPr="0085125A" w:rsidRDefault="0089194A">
            <w:pPr>
              <w:jc w:val="center"/>
              <w:rPr>
                <w:sz w:val="20"/>
                <w:szCs w:val="20"/>
              </w:rPr>
            </w:pPr>
            <w:r w:rsidRPr="0085125A">
              <w:rPr>
                <w:sz w:val="20"/>
                <w:szCs w:val="20"/>
              </w:rPr>
              <w:t>-0.0791</w:t>
            </w:r>
          </w:p>
        </w:tc>
      </w:tr>
      <w:tr w:rsidR="0089194A" w:rsidRPr="0085125A" w14:paraId="2923B022" w14:textId="77777777" w:rsidTr="00B417EC">
        <w:trPr>
          <w:trHeight w:val="300"/>
        </w:trPr>
        <w:tc>
          <w:tcPr>
            <w:tcW w:w="1339" w:type="dxa"/>
            <w:tcBorders>
              <w:top w:val="nil"/>
              <w:left w:val="nil"/>
              <w:bottom w:val="nil"/>
              <w:right w:val="nil"/>
            </w:tcBorders>
            <w:shd w:val="clear" w:color="auto" w:fill="auto"/>
            <w:vAlign w:val="center"/>
            <w:hideMark/>
          </w:tcPr>
          <w:p w14:paraId="364F6279" w14:textId="77777777" w:rsidR="0089194A" w:rsidRPr="0085125A" w:rsidRDefault="0089194A">
            <w:pPr>
              <w:jc w:val="both"/>
              <w:rPr>
                <w:sz w:val="20"/>
                <w:szCs w:val="20"/>
              </w:rPr>
            </w:pPr>
            <w:r w:rsidRPr="0085125A">
              <w:rPr>
                <w:sz w:val="20"/>
                <w:szCs w:val="20"/>
              </w:rPr>
              <w:t>L2D.LToT</w:t>
            </w:r>
          </w:p>
        </w:tc>
        <w:tc>
          <w:tcPr>
            <w:tcW w:w="1072" w:type="dxa"/>
            <w:tcBorders>
              <w:top w:val="nil"/>
              <w:left w:val="nil"/>
              <w:bottom w:val="nil"/>
              <w:right w:val="nil"/>
            </w:tcBorders>
            <w:shd w:val="clear" w:color="auto" w:fill="auto"/>
            <w:vAlign w:val="center"/>
            <w:hideMark/>
          </w:tcPr>
          <w:p w14:paraId="1E81816B" w14:textId="77777777" w:rsidR="0089194A" w:rsidRPr="0085125A" w:rsidRDefault="0089194A">
            <w:pPr>
              <w:jc w:val="center"/>
              <w:rPr>
                <w:sz w:val="20"/>
                <w:szCs w:val="20"/>
              </w:rPr>
            </w:pPr>
            <w:r w:rsidRPr="0085125A">
              <w:rPr>
                <w:sz w:val="20"/>
                <w:szCs w:val="20"/>
              </w:rPr>
              <w:t>-0.158***</w:t>
            </w:r>
          </w:p>
        </w:tc>
        <w:tc>
          <w:tcPr>
            <w:tcW w:w="1099" w:type="dxa"/>
            <w:tcBorders>
              <w:top w:val="nil"/>
              <w:left w:val="nil"/>
              <w:bottom w:val="nil"/>
              <w:right w:val="nil"/>
            </w:tcBorders>
            <w:shd w:val="clear" w:color="auto" w:fill="auto"/>
            <w:vAlign w:val="center"/>
            <w:hideMark/>
          </w:tcPr>
          <w:p w14:paraId="694EA7F5" w14:textId="77777777" w:rsidR="0089194A" w:rsidRPr="0085125A" w:rsidRDefault="0089194A">
            <w:pPr>
              <w:jc w:val="center"/>
              <w:rPr>
                <w:sz w:val="20"/>
                <w:szCs w:val="20"/>
              </w:rPr>
            </w:pPr>
            <w:r w:rsidRPr="0085125A">
              <w:rPr>
                <w:sz w:val="20"/>
                <w:szCs w:val="20"/>
              </w:rPr>
              <w:t>-0.256***</w:t>
            </w:r>
          </w:p>
        </w:tc>
        <w:tc>
          <w:tcPr>
            <w:tcW w:w="1050" w:type="dxa"/>
            <w:tcBorders>
              <w:top w:val="nil"/>
              <w:left w:val="nil"/>
              <w:bottom w:val="nil"/>
              <w:right w:val="nil"/>
            </w:tcBorders>
            <w:shd w:val="clear" w:color="auto" w:fill="auto"/>
            <w:vAlign w:val="center"/>
            <w:hideMark/>
          </w:tcPr>
          <w:p w14:paraId="098E43CA" w14:textId="77777777" w:rsidR="0089194A" w:rsidRPr="0085125A" w:rsidRDefault="0089194A">
            <w:pPr>
              <w:jc w:val="center"/>
              <w:rPr>
                <w:sz w:val="20"/>
                <w:szCs w:val="20"/>
              </w:rPr>
            </w:pPr>
            <w:r w:rsidRPr="0085125A">
              <w:rPr>
                <w:sz w:val="20"/>
                <w:szCs w:val="20"/>
              </w:rPr>
              <w:t>-0.290***</w:t>
            </w:r>
          </w:p>
        </w:tc>
        <w:tc>
          <w:tcPr>
            <w:tcW w:w="1166" w:type="dxa"/>
            <w:tcBorders>
              <w:top w:val="nil"/>
              <w:left w:val="nil"/>
              <w:bottom w:val="nil"/>
              <w:right w:val="nil"/>
            </w:tcBorders>
            <w:shd w:val="clear" w:color="auto" w:fill="auto"/>
            <w:vAlign w:val="center"/>
            <w:hideMark/>
          </w:tcPr>
          <w:p w14:paraId="31CB516F" w14:textId="77777777" w:rsidR="0089194A" w:rsidRPr="0085125A" w:rsidRDefault="0089194A">
            <w:pPr>
              <w:jc w:val="center"/>
              <w:rPr>
                <w:sz w:val="20"/>
                <w:szCs w:val="20"/>
              </w:rPr>
            </w:pPr>
            <w:r w:rsidRPr="0085125A">
              <w:rPr>
                <w:sz w:val="20"/>
                <w:szCs w:val="20"/>
              </w:rPr>
              <w:t>0.0136***</w:t>
            </w:r>
          </w:p>
        </w:tc>
        <w:tc>
          <w:tcPr>
            <w:tcW w:w="1114" w:type="dxa"/>
            <w:tcBorders>
              <w:top w:val="nil"/>
              <w:left w:val="nil"/>
              <w:bottom w:val="nil"/>
              <w:right w:val="nil"/>
            </w:tcBorders>
            <w:shd w:val="clear" w:color="auto" w:fill="auto"/>
            <w:vAlign w:val="center"/>
            <w:hideMark/>
          </w:tcPr>
          <w:p w14:paraId="5FFFD9E0" w14:textId="77777777" w:rsidR="0089194A" w:rsidRPr="0085125A" w:rsidRDefault="0089194A">
            <w:pPr>
              <w:jc w:val="center"/>
              <w:rPr>
                <w:sz w:val="20"/>
                <w:szCs w:val="20"/>
              </w:rPr>
            </w:pPr>
            <w:r w:rsidRPr="0085125A">
              <w:rPr>
                <w:sz w:val="20"/>
                <w:szCs w:val="20"/>
              </w:rPr>
              <w:t>-3.163***</w:t>
            </w:r>
          </w:p>
        </w:tc>
        <w:tc>
          <w:tcPr>
            <w:tcW w:w="1080" w:type="dxa"/>
            <w:tcBorders>
              <w:top w:val="nil"/>
              <w:left w:val="nil"/>
              <w:bottom w:val="nil"/>
              <w:right w:val="nil"/>
            </w:tcBorders>
            <w:shd w:val="clear" w:color="auto" w:fill="auto"/>
            <w:vAlign w:val="center"/>
            <w:hideMark/>
          </w:tcPr>
          <w:p w14:paraId="75565C4F" w14:textId="77777777" w:rsidR="0089194A" w:rsidRPr="0085125A" w:rsidRDefault="0089194A">
            <w:pPr>
              <w:jc w:val="center"/>
              <w:rPr>
                <w:sz w:val="20"/>
                <w:szCs w:val="20"/>
              </w:rPr>
            </w:pPr>
            <w:r w:rsidRPr="0085125A">
              <w:rPr>
                <w:sz w:val="20"/>
                <w:szCs w:val="20"/>
              </w:rPr>
              <w:t>-29.17***</w:t>
            </w:r>
          </w:p>
        </w:tc>
        <w:tc>
          <w:tcPr>
            <w:tcW w:w="1170" w:type="dxa"/>
            <w:gridSpan w:val="2"/>
            <w:tcBorders>
              <w:top w:val="nil"/>
              <w:left w:val="nil"/>
              <w:bottom w:val="nil"/>
              <w:right w:val="nil"/>
            </w:tcBorders>
            <w:shd w:val="clear" w:color="auto" w:fill="auto"/>
            <w:vAlign w:val="center"/>
            <w:hideMark/>
          </w:tcPr>
          <w:p w14:paraId="0D203F29" w14:textId="77777777" w:rsidR="0089194A" w:rsidRPr="0085125A" w:rsidRDefault="0089194A">
            <w:pPr>
              <w:jc w:val="center"/>
              <w:rPr>
                <w:sz w:val="20"/>
                <w:szCs w:val="20"/>
              </w:rPr>
            </w:pPr>
            <w:r w:rsidRPr="0085125A">
              <w:rPr>
                <w:sz w:val="20"/>
                <w:szCs w:val="20"/>
              </w:rPr>
              <w:t>0.199**</w:t>
            </w:r>
          </w:p>
        </w:tc>
      </w:tr>
      <w:tr w:rsidR="0089194A" w:rsidRPr="0085125A" w14:paraId="28E09901" w14:textId="77777777" w:rsidTr="00B417EC">
        <w:trPr>
          <w:trHeight w:val="300"/>
        </w:trPr>
        <w:tc>
          <w:tcPr>
            <w:tcW w:w="1339" w:type="dxa"/>
            <w:tcBorders>
              <w:top w:val="nil"/>
              <w:left w:val="nil"/>
              <w:bottom w:val="nil"/>
              <w:right w:val="nil"/>
            </w:tcBorders>
            <w:shd w:val="clear" w:color="auto" w:fill="auto"/>
            <w:vAlign w:val="center"/>
            <w:hideMark/>
          </w:tcPr>
          <w:p w14:paraId="5928D095"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0DD6C1DE" w14:textId="77777777" w:rsidR="0089194A" w:rsidRPr="0085125A" w:rsidRDefault="0089194A">
            <w:pPr>
              <w:jc w:val="center"/>
              <w:rPr>
                <w:sz w:val="20"/>
                <w:szCs w:val="20"/>
              </w:rPr>
            </w:pPr>
            <w:r w:rsidRPr="0085125A">
              <w:rPr>
                <w:sz w:val="20"/>
                <w:szCs w:val="20"/>
              </w:rPr>
              <w:t>-0.0393</w:t>
            </w:r>
          </w:p>
        </w:tc>
        <w:tc>
          <w:tcPr>
            <w:tcW w:w="1099" w:type="dxa"/>
            <w:tcBorders>
              <w:top w:val="nil"/>
              <w:left w:val="nil"/>
              <w:bottom w:val="nil"/>
              <w:right w:val="nil"/>
            </w:tcBorders>
            <w:shd w:val="clear" w:color="auto" w:fill="auto"/>
            <w:vAlign w:val="center"/>
            <w:hideMark/>
          </w:tcPr>
          <w:p w14:paraId="02D81E0B" w14:textId="77777777" w:rsidR="0089194A" w:rsidRPr="0085125A" w:rsidRDefault="0089194A">
            <w:pPr>
              <w:jc w:val="center"/>
              <w:rPr>
                <w:sz w:val="20"/>
                <w:szCs w:val="20"/>
              </w:rPr>
            </w:pPr>
            <w:r w:rsidRPr="0085125A">
              <w:rPr>
                <w:sz w:val="20"/>
                <w:szCs w:val="20"/>
              </w:rPr>
              <w:t>-0.0615</w:t>
            </w:r>
          </w:p>
        </w:tc>
        <w:tc>
          <w:tcPr>
            <w:tcW w:w="1050" w:type="dxa"/>
            <w:tcBorders>
              <w:top w:val="nil"/>
              <w:left w:val="nil"/>
              <w:bottom w:val="nil"/>
              <w:right w:val="nil"/>
            </w:tcBorders>
            <w:shd w:val="clear" w:color="auto" w:fill="auto"/>
            <w:vAlign w:val="center"/>
            <w:hideMark/>
          </w:tcPr>
          <w:p w14:paraId="38054EE8" w14:textId="77777777" w:rsidR="0089194A" w:rsidRPr="0085125A" w:rsidRDefault="0089194A">
            <w:pPr>
              <w:jc w:val="center"/>
              <w:rPr>
                <w:sz w:val="20"/>
                <w:szCs w:val="20"/>
              </w:rPr>
            </w:pPr>
            <w:r w:rsidRPr="0085125A">
              <w:rPr>
                <w:sz w:val="20"/>
                <w:szCs w:val="20"/>
              </w:rPr>
              <w:t>-0.0581</w:t>
            </w:r>
          </w:p>
        </w:tc>
        <w:tc>
          <w:tcPr>
            <w:tcW w:w="1166" w:type="dxa"/>
            <w:tcBorders>
              <w:top w:val="nil"/>
              <w:left w:val="nil"/>
              <w:bottom w:val="nil"/>
              <w:right w:val="nil"/>
            </w:tcBorders>
            <w:shd w:val="clear" w:color="auto" w:fill="auto"/>
            <w:vAlign w:val="center"/>
            <w:hideMark/>
          </w:tcPr>
          <w:p w14:paraId="3EB0FBFE" w14:textId="77777777" w:rsidR="0089194A" w:rsidRPr="0085125A" w:rsidRDefault="0089194A">
            <w:pPr>
              <w:jc w:val="center"/>
              <w:rPr>
                <w:sz w:val="20"/>
                <w:szCs w:val="20"/>
              </w:rPr>
            </w:pPr>
            <w:r w:rsidRPr="0085125A">
              <w:rPr>
                <w:sz w:val="20"/>
                <w:szCs w:val="20"/>
              </w:rPr>
              <w:t>-0.00441</w:t>
            </w:r>
          </w:p>
        </w:tc>
        <w:tc>
          <w:tcPr>
            <w:tcW w:w="1114" w:type="dxa"/>
            <w:tcBorders>
              <w:top w:val="nil"/>
              <w:left w:val="nil"/>
              <w:bottom w:val="nil"/>
              <w:right w:val="nil"/>
            </w:tcBorders>
            <w:shd w:val="clear" w:color="auto" w:fill="auto"/>
            <w:vAlign w:val="center"/>
            <w:hideMark/>
          </w:tcPr>
          <w:p w14:paraId="26C0045C" w14:textId="77777777" w:rsidR="0089194A" w:rsidRPr="0085125A" w:rsidRDefault="0089194A">
            <w:pPr>
              <w:jc w:val="center"/>
              <w:rPr>
                <w:sz w:val="20"/>
                <w:szCs w:val="20"/>
              </w:rPr>
            </w:pPr>
            <w:r w:rsidRPr="0085125A">
              <w:rPr>
                <w:sz w:val="20"/>
                <w:szCs w:val="20"/>
              </w:rPr>
              <w:t>-1.021</w:t>
            </w:r>
          </w:p>
        </w:tc>
        <w:tc>
          <w:tcPr>
            <w:tcW w:w="1080" w:type="dxa"/>
            <w:tcBorders>
              <w:top w:val="nil"/>
              <w:left w:val="nil"/>
              <w:bottom w:val="nil"/>
              <w:right w:val="nil"/>
            </w:tcBorders>
            <w:shd w:val="clear" w:color="auto" w:fill="auto"/>
            <w:vAlign w:val="center"/>
            <w:hideMark/>
          </w:tcPr>
          <w:p w14:paraId="2F740308" w14:textId="77777777" w:rsidR="0089194A" w:rsidRPr="0085125A" w:rsidRDefault="0089194A">
            <w:pPr>
              <w:jc w:val="center"/>
              <w:rPr>
                <w:sz w:val="20"/>
                <w:szCs w:val="20"/>
              </w:rPr>
            </w:pPr>
            <w:r w:rsidRPr="0085125A">
              <w:rPr>
                <w:sz w:val="20"/>
                <w:szCs w:val="20"/>
              </w:rPr>
              <w:t>-7.979</w:t>
            </w:r>
          </w:p>
        </w:tc>
        <w:tc>
          <w:tcPr>
            <w:tcW w:w="1170" w:type="dxa"/>
            <w:gridSpan w:val="2"/>
            <w:tcBorders>
              <w:top w:val="nil"/>
              <w:left w:val="nil"/>
              <w:bottom w:val="nil"/>
              <w:right w:val="nil"/>
            </w:tcBorders>
            <w:shd w:val="clear" w:color="auto" w:fill="auto"/>
            <w:vAlign w:val="center"/>
            <w:hideMark/>
          </w:tcPr>
          <w:p w14:paraId="10A519EF" w14:textId="77777777" w:rsidR="0089194A" w:rsidRPr="0085125A" w:rsidRDefault="0089194A">
            <w:pPr>
              <w:jc w:val="center"/>
              <w:rPr>
                <w:sz w:val="20"/>
                <w:szCs w:val="20"/>
              </w:rPr>
            </w:pPr>
            <w:r w:rsidRPr="0085125A">
              <w:rPr>
                <w:sz w:val="20"/>
                <w:szCs w:val="20"/>
              </w:rPr>
              <w:t>-0.0852</w:t>
            </w:r>
          </w:p>
        </w:tc>
      </w:tr>
      <w:tr w:rsidR="0089194A" w:rsidRPr="0085125A" w14:paraId="246EB560" w14:textId="77777777" w:rsidTr="00B417EC">
        <w:trPr>
          <w:trHeight w:val="300"/>
        </w:trPr>
        <w:tc>
          <w:tcPr>
            <w:tcW w:w="1339" w:type="dxa"/>
            <w:tcBorders>
              <w:top w:val="nil"/>
              <w:left w:val="nil"/>
              <w:bottom w:val="nil"/>
              <w:right w:val="nil"/>
            </w:tcBorders>
            <w:shd w:val="clear" w:color="auto" w:fill="auto"/>
            <w:vAlign w:val="center"/>
            <w:hideMark/>
          </w:tcPr>
          <w:p w14:paraId="4B5A7129" w14:textId="77777777" w:rsidR="0089194A" w:rsidRPr="0085125A" w:rsidRDefault="0089194A">
            <w:pPr>
              <w:jc w:val="both"/>
              <w:rPr>
                <w:sz w:val="20"/>
                <w:szCs w:val="20"/>
              </w:rPr>
            </w:pPr>
            <w:r w:rsidRPr="0085125A">
              <w:rPr>
                <w:sz w:val="20"/>
                <w:szCs w:val="20"/>
              </w:rPr>
              <w:t>LD.PoP</w:t>
            </w:r>
          </w:p>
        </w:tc>
        <w:tc>
          <w:tcPr>
            <w:tcW w:w="1072" w:type="dxa"/>
            <w:tcBorders>
              <w:top w:val="nil"/>
              <w:left w:val="nil"/>
              <w:bottom w:val="nil"/>
              <w:right w:val="nil"/>
            </w:tcBorders>
            <w:shd w:val="clear" w:color="auto" w:fill="auto"/>
            <w:vAlign w:val="center"/>
            <w:hideMark/>
          </w:tcPr>
          <w:p w14:paraId="67B41BC4" w14:textId="77777777" w:rsidR="0089194A" w:rsidRPr="0085125A" w:rsidRDefault="0089194A">
            <w:pPr>
              <w:jc w:val="center"/>
              <w:rPr>
                <w:sz w:val="20"/>
                <w:szCs w:val="20"/>
              </w:rPr>
            </w:pPr>
            <w:r w:rsidRPr="0085125A">
              <w:rPr>
                <w:sz w:val="20"/>
                <w:szCs w:val="20"/>
              </w:rPr>
              <w:t>0.99</w:t>
            </w:r>
          </w:p>
        </w:tc>
        <w:tc>
          <w:tcPr>
            <w:tcW w:w="1099" w:type="dxa"/>
            <w:tcBorders>
              <w:top w:val="nil"/>
              <w:left w:val="nil"/>
              <w:bottom w:val="nil"/>
              <w:right w:val="nil"/>
            </w:tcBorders>
            <w:shd w:val="clear" w:color="auto" w:fill="auto"/>
            <w:vAlign w:val="center"/>
            <w:hideMark/>
          </w:tcPr>
          <w:p w14:paraId="039A214C" w14:textId="77777777" w:rsidR="0089194A" w:rsidRPr="0085125A" w:rsidRDefault="0089194A">
            <w:pPr>
              <w:jc w:val="center"/>
              <w:rPr>
                <w:sz w:val="20"/>
                <w:szCs w:val="20"/>
              </w:rPr>
            </w:pPr>
            <w:r w:rsidRPr="0085125A">
              <w:rPr>
                <w:sz w:val="20"/>
                <w:szCs w:val="20"/>
              </w:rPr>
              <w:t>1.086</w:t>
            </w:r>
          </w:p>
        </w:tc>
        <w:tc>
          <w:tcPr>
            <w:tcW w:w="1050" w:type="dxa"/>
            <w:tcBorders>
              <w:top w:val="nil"/>
              <w:left w:val="nil"/>
              <w:bottom w:val="nil"/>
              <w:right w:val="nil"/>
            </w:tcBorders>
            <w:shd w:val="clear" w:color="auto" w:fill="auto"/>
            <w:vAlign w:val="center"/>
            <w:hideMark/>
          </w:tcPr>
          <w:p w14:paraId="4AFC1416" w14:textId="77777777" w:rsidR="0089194A" w:rsidRPr="0085125A" w:rsidRDefault="0089194A">
            <w:pPr>
              <w:jc w:val="center"/>
              <w:rPr>
                <w:sz w:val="20"/>
                <w:szCs w:val="20"/>
              </w:rPr>
            </w:pPr>
            <w:r w:rsidRPr="0085125A">
              <w:rPr>
                <w:sz w:val="20"/>
                <w:szCs w:val="20"/>
              </w:rPr>
              <w:t>2.683**</w:t>
            </w:r>
          </w:p>
        </w:tc>
        <w:tc>
          <w:tcPr>
            <w:tcW w:w="1166" w:type="dxa"/>
            <w:tcBorders>
              <w:top w:val="nil"/>
              <w:left w:val="nil"/>
              <w:bottom w:val="nil"/>
              <w:right w:val="nil"/>
            </w:tcBorders>
            <w:shd w:val="clear" w:color="auto" w:fill="auto"/>
            <w:vAlign w:val="center"/>
            <w:hideMark/>
          </w:tcPr>
          <w:p w14:paraId="439B61AA" w14:textId="77777777" w:rsidR="0089194A" w:rsidRPr="0085125A" w:rsidRDefault="0089194A">
            <w:pPr>
              <w:jc w:val="center"/>
              <w:rPr>
                <w:sz w:val="20"/>
                <w:szCs w:val="20"/>
              </w:rPr>
            </w:pPr>
            <w:r w:rsidRPr="0085125A">
              <w:rPr>
                <w:sz w:val="20"/>
                <w:szCs w:val="20"/>
              </w:rPr>
              <w:t>1.137***</w:t>
            </w:r>
          </w:p>
        </w:tc>
        <w:tc>
          <w:tcPr>
            <w:tcW w:w="1114" w:type="dxa"/>
            <w:tcBorders>
              <w:top w:val="nil"/>
              <w:left w:val="nil"/>
              <w:bottom w:val="nil"/>
              <w:right w:val="nil"/>
            </w:tcBorders>
            <w:shd w:val="clear" w:color="auto" w:fill="auto"/>
            <w:vAlign w:val="center"/>
            <w:hideMark/>
          </w:tcPr>
          <w:p w14:paraId="3AFE9026" w14:textId="77777777" w:rsidR="0089194A" w:rsidRPr="0085125A" w:rsidRDefault="0089194A">
            <w:pPr>
              <w:jc w:val="center"/>
              <w:rPr>
                <w:sz w:val="20"/>
                <w:szCs w:val="20"/>
              </w:rPr>
            </w:pPr>
            <w:r w:rsidRPr="0085125A">
              <w:rPr>
                <w:sz w:val="20"/>
                <w:szCs w:val="20"/>
              </w:rPr>
              <w:t>20.84</w:t>
            </w:r>
          </w:p>
        </w:tc>
        <w:tc>
          <w:tcPr>
            <w:tcW w:w="1080" w:type="dxa"/>
            <w:tcBorders>
              <w:top w:val="nil"/>
              <w:left w:val="nil"/>
              <w:bottom w:val="nil"/>
              <w:right w:val="nil"/>
            </w:tcBorders>
            <w:shd w:val="clear" w:color="auto" w:fill="auto"/>
            <w:vAlign w:val="center"/>
            <w:hideMark/>
          </w:tcPr>
          <w:p w14:paraId="52ECD007" w14:textId="77777777" w:rsidR="0089194A" w:rsidRPr="0085125A" w:rsidRDefault="0089194A">
            <w:pPr>
              <w:jc w:val="center"/>
              <w:rPr>
                <w:sz w:val="20"/>
                <w:szCs w:val="20"/>
              </w:rPr>
            </w:pPr>
            <w:r w:rsidRPr="0085125A">
              <w:rPr>
                <w:sz w:val="20"/>
                <w:szCs w:val="20"/>
              </w:rPr>
              <w:t>26.67</w:t>
            </w:r>
          </w:p>
        </w:tc>
        <w:tc>
          <w:tcPr>
            <w:tcW w:w="1170" w:type="dxa"/>
            <w:gridSpan w:val="2"/>
            <w:tcBorders>
              <w:top w:val="nil"/>
              <w:left w:val="nil"/>
              <w:bottom w:val="nil"/>
              <w:right w:val="nil"/>
            </w:tcBorders>
            <w:shd w:val="clear" w:color="auto" w:fill="auto"/>
            <w:vAlign w:val="center"/>
            <w:hideMark/>
          </w:tcPr>
          <w:p w14:paraId="61F58EA8" w14:textId="77777777" w:rsidR="0089194A" w:rsidRPr="0085125A" w:rsidRDefault="0089194A">
            <w:pPr>
              <w:jc w:val="center"/>
              <w:rPr>
                <w:sz w:val="20"/>
                <w:szCs w:val="20"/>
              </w:rPr>
            </w:pPr>
            <w:r w:rsidRPr="0085125A">
              <w:rPr>
                <w:sz w:val="20"/>
                <w:szCs w:val="20"/>
              </w:rPr>
              <w:t>-2.338</w:t>
            </w:r>
          </w:p>
        </w:tc>
      </w:tr>
      <w:tr w:rsidR="0089194A" w:rsidRPr="0085125A" w14:paraId="0C1E33C3" w14:textId="77777777" w:rsidTr="00B417EC">
        <w:trPr>
          <w:trHeight w:val="300"/>
        </w:trPr>
        <w:tc>
          <w:tcPr>
            <w:tcW w:w="1339" w:type="dxa"/>
            <w:tcBorders>
              <w:top w:val="nil"/>
              <w:left w:val="nil"/>
              <w:bottom w:val="nil"/>
              <w:right w:val="nil"/>
            </w:tcBorders>
            <w:shd w:val="clear" w:color="auto" w:fill="auto"/>
            <w:vAlign w:val="center"/>
            <w:hideMark/>
          </w:tcPr>
          <w:p w14:paraId="4630DE65"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5BD09D36" w14:textId="77777777" w:rsidR="0089194A" w:rsidRPr="0085125A" w:rsidRDefault="0089194A">
            <w:pPr>
              <w:jc w:val="center"/>
              <w:rPr>
                <w:sz w:val="20"/>
                <w:szCs w:val="20"/>
              </w:rPr>
            </w:pPr>
            <w:r w:rsidRPr="0085125A">
              <w:rPr>
                <w:sz w:val="20"/>
                <w:szCs w:val="20"/>
              </w:rPr>
              <w:t>-0.714</w:t>
            </w:r>
          </w:p>
        </w:tc>
        <w:tc>
          <w:tcPr>
            <w:tcW w:w="1099" w:type="dxa"/>
            <w:tcBorders>
              <w:top w:val="nil"/>
              <w:left w:val="nil"/>
              <w:bottom w:val="nil"/>
              <w:right w:val="nil"/>
            </w:tcBorders>
            <w:shd w:val="clear" w:color="auto" w:fill="auto"/>
            <w:vAlign w:val="center"/>
            <w:hideMark/>
          </w:tcPr>
          <w:p w14:paraId="6D2BF642" w14:textId="77777777" w:rsidR="0089194A" w:rsidRPr="0085125A" w:rsidRDefault="0089194A">
            <w:pPr>
              <w:jc w:val="center"/>
              <w:rPr>
                <w:sz w:val="20"/>
                <w:szCs w:val="20"/>
              </w:rPr>
            </w:pPr>
            <w:r w:rsidRPr="0085125A">
              <w:rPr>
                <w:sz w:val="20"/>
                <w:szCs w:val="20"/>
              </w:rPr>
              <w:t>-1.117</w:t>
            </w:r>
          </w:p>
        </w:tc>
        <w:tc>
          <w:tcPr>
            <w:tcW w:w="1050" w:type="dxa"/>
            <w:tcBorders>
              <w:top w:val="nil"/>
              <w:left w:val="nil"/>
              <w:bottom w:val="nil"/>
              <w:right w:val="nil"/>
            </w:tcBorders>
            <w:shd w:val="clear" w:color="auto" w:fill="auto"/>
            <w:vAlign w:val="center"/>
            <w:hideMark/>
          </w:tcPr>
          <w:p w14:paraId="4A93336B" w14:textId="77777777" w:rsidR="0089194A" w:rsidRPr="0085125A" w:rsidRDefault="0089194A">
            <w:pPr>
              <w:jc w:val="center"/>
              <w:rPr>
                <w:sz w:val="20"/>
                <w:szCs w:val="20"/>
              </w:rPr>
            </w:pPr>
            <w:r w:rsidRPr="0085125A">
              <w:rPr>
                <w:sz w:val="20"/>
                <w:szCs w:val="20"/>
              </w:rPr>
              <w:t>-1.055</w:t>
            </w:r>
          </w:p>
        </w:tc>
        <w:tc>
          <w:tcPr>
            <w:tcW w:w="1166" w:type="dxa"/>
            <w:tcBorders>
              <w:top w:val="nil"/>
              <w:left w:val="nil"/>
              <w:bottom w:val="nil"/>
              <w:right w:val="nil"/>
            </w:tcBorders>
            <w:shd w:val="clear" w:color="auto" w:fill="auto"/>
            <w:vAlign w:val="center"/>
            <w:hideMark/>
          </w:tcPr>
          <w:p w14:paraId="0C286A03" w14:textId="77777777" w:rsidR="0089194A" w:rsidRPr="0085125A" w:rsidRDefault="0089194A">
            <w:pPr>
              <w:jc w:val="center"/>
              <w:rPr>
                <w:sz w:val="20"/>
                <w:szCs w:val="20"/>
              </w:rPr>
            </w:pPr>
            <w:r w:rsidRPr="0085125A">
              <w:rPr>
                <w:sz w:val="20"/>
                <w:szCs w:val="20"/>
              </w:rPr>
              <w:t>-0.08</w:t>
            </w:r>
          </w:p>
        </w:tc>
        <w:tc>
          <w:tcPr>
            <w:tcW w:w="1114" w:type="dxa"/>
            <w:tcBorders>
              <w:top w:val="nil"/>
              <w:left w:val="nil"/>
              <w:bottom w:val="nil"/>
              <w:right w:val="nil"/>
            </w:tcBorders>
            <w:shd w:val="clear" w:color="auto" w:fill="auto"/>
            <w:vAlign w:val="center"/>
            <w:hideMark/>
          </w:tcPr>
          <w:p w14:paraId="0577BC47" w14:textId="77777777" w:rsidR="0089194A" w:rsidRPr="0085125A" w:rsidRDefault="0089194A">
            <w:pPr>
              <w:jc w:val="center"/>
              <w:rPr>
                <w:sz w:val="20"/>
                <w:szCs w:val="20"/>
              </w:rPr>
            </w:pPr>
            <w:r w:rsidRPr="0085125A">
              <w:rPr>
                <w:sz w:val="20"/>
                <w:szCs w:val="20"/>
              </w:rPr>
              <w:t>-18.54</w:t>
            </w:r>
          </w:p>
        </w:tc>
        <w:tc>
          <w:tcPr>
            <w:tcW w:w="1080" w:type="dxa"/>
            <w:tcBorders>
              <w:top w:val="nil"/>
              <w:left w:val="nil"/>
              <w:bottom w:val="nil"/>
              <w:right w:val="nil"/>
            </w:tcBorders>
            <w:shd w:val="clear" w:color="auto" w:fill="auto"/>
            <w:vAlign w:val="center"/>
            <w:hideMark/>
          </w:tcPr>
          <w:p w14:paraId="5D7E9255" w14:textId="77777777" w:rsidR="0089194A" w:rsidRPr="0085125A" w:rsidRDefault="0089194A">
            <w:pPr>
              <w:jc w:val="center"/>
              <w:rPr>
                <w:sz w:val="20"/>
                <w:szCs w:val="20"/>
              </w:rPr>
            </w:pPr>
            <w:r w:rsidRPr="0085125A">
              <w:rPr>
                <w:sz w:val="20"/>
                <w:szCs w:val="20"/>
              </w:rPr>
              <w:t>-144.8</w:t>
            </w:r>
          </w:p>
        </w:tc>
        <w:tc>
          <w:tcPr>
            <w:tcW w:w="1170" w:type="dxa"/>
            <w:gridSpan w:val="2"/>
            <w:tcBorders>
              <w:top w:val="nil"/>
              <w:left w:val="nil"/>
              <w:bottom w:val="nil"/>
              <w:right w:val="nil"/>
            </w:tcBorders>
            <w:shd w:val="clear" w:color="auto" w:fill="auto"/>
            <w:vAlign w:val="center"/>
            <w:hideMark/>
          </w:tcPr>
          <w:p w14:paraId="5BC0BCF7" w14:textId="77777777" w:rsidR="0089194A" w:rsidRPr="0085125A" w:rsidRDefault="0089194A">
            <w:pPr>
              <w:jc w:val="center"/>
              <w:rPr>
                <w:sz w:val="20"/>
                <w:szCs w:val="20"/>
              </w:rPr>
            </w:pPr>
            <w:r w:rsidRPr="0085125A">
              <w:rPr>
                <w:sz w:val="20"/>
                <w:szCs w:val="20"/>
              </w:rPr>
              <w:t>-1.547</w:t>
            </w:r>
          </w:p>
        </w:tc>
      </w:tr>
      <w:tr w:rsidR="0089194A" w:rsidRPr="0085125A" w14:paraId="5EB3858E" w14:textId="77777777" w:rsidTr="00B417EC">
        <w:trPr>
          <w:trHeight w:val="300"/>
        </w:trPr>
        <w:tc>
          <w:tcPr>
            <w:tcW w:w="1339" w:type="dxa"/>
            <w:tcBorders>
              <w:top w:val="nil"/>
              <w:left w:val="nil"/>
              <w:bottom w:val="nil"/>
              <w:right w:val="nil"/>
            </w:tcBorders>
            <w:shd w:val="clear" w:color="auto" w:fill="auto"/>
            <w:vAlign w:val="center"/>
            <w:hideMark/>
          </w:tcPr>
          <w:p w14:paraId="7DB4861F" w14:textId="77777777" w:rsidR="0089194A" w:rsidRPr="0085125A" w:rsidRDefault="0089194A">
            <w:pPr>
              <w:jc w:val="both"/>
              <w:rPr>
                <w:sz w:val="20"/>
                <w:szCs w:val="20"/>
              </w:rPr>
            </w:pPr>
            <w:r w:rsidRPr="0085125A">
              <w:rPr>
                <w:sz w:val="20"/>
                <w:szCs w:val="20"/>
              </w:rPr>
              <w:t>L2D.PoP</w:t>
            </w:r>
          </w:p>
        </w:tc>
        <w:tc>
          <w:tcPr>
            <w:tcW w:w="1072" w:type="dxa"/>
            <w:tcBorders>
              <w:top w:val="nil"/>
              <w:left w:val="nil"/>
              <w:bottom w:val="nil"/>
              <w:right w:val="nil"/>
            </w:tcBorders>
            <w:shd w:val="clear" w:color="auto" w:fill="auto"/>
            <w:vAlign w:val="center"/>
            <w:hideMark/>
          </w:tcPr>
          <w:p w14:paraId="118A3BA4" w14:textId="77777777" w:rsidR="0089194A" w:rsidRPr="0085125A" w:rsidRDefault="0089194A">
            <w:pPr>
              <w:jc w:val="center"/>
              <w:rPr>
                <w:sz w:val="20"/>
                <w:szCs w:val="20"/>
              </w:rPr>
            </w:pPr>
            <w:r w:rsidRPr="0085125A">
              <w:rPr>
                <w:sz w:val="20"/>
                <w:szCs w:val="20"/>
              </w:rPr>
              <w:t>-2.040**</w:t>
            </w:r>
          </w:p>
        </w:tc>
        <w:tc>
          <w:tcPr>
            <w:tcW w:w="1099" w:type="dxa"/>
            <w:tcBorders>
              <w:top w:val="nil"/>
              <w:left w:val="nil"/>
              <w:bottom w:val="nil"/>
              <w:right w:val="nil"/>
            </w:tcBorders>
            <w:shd w:val="clear" w:color="auto" w:fill="auto"/>
            <w:vAlign w:val="center"/>
            <w:hideMark/>
          </w:tcPr>
          <w:p w14:paraId="7F1EB719" w14:textId="77777777" w:rsidR="0089194A" w:rsidRPr="0085125A" w:rsidRDefault="0089194A">
            <w:pPr>
              <w:jc w:val="center"/>
              <w:rPr>
                <w:sz w:val="20"/>
                <w:szCs w:val="20"/>
              </w:rPr>
            </w:pPr>
            <w:r w:rsidRPr="0085125A">
              <w:rPr>
                <w:sz w:val="20"/>
                <w:szCs w:val="20"/>
              </w:rPr>
              <w:t>-4.487***</w:t>
            </w:r>
          </w:p>
        </w:tc>
        <w:tc>
          <w:tcPr>
            <w:tcW w:w="1050" w:type="dxa"/>
            <w:tcBorders>
              <w:top w:val="nil"/>
              <w:left w:val="nil"/>
              <w:bottom w:val="nil"/>
              <w:right w:val="nil"/>
            </w:tcBorders>
            <w:shd w:val="clear" w:color="auto" w:fill="auto"/>
            <w:vAlign w:val="center"/>
            <w:hideMark/>
          </w:tcPr>
          <w:p w14:paraId="586346F2" w14:textId="77777777" w:rsidR="0089194A" w:rsidRPr="0085125A" w:rsidRDefault="0089194A">
            <w:pPr>
              <w:jc w:val="center"/>
              <w:rPr>
                <w:sz w:val="20"/>
                <w:szCs w:val="20"/>
              </w:rPr>
            </w:pPr>
            <w:r w:rsidRPr="0085125A">
              <w:rPr>
                <w:sz w:val="20"/>
                <w:szCs w:val="20"/>
              </w:rPr>
              <w:t>3.065**</w:t>
            </w:r>
          </w:p>
        </w:tc>
        <w:tc>
          <w:tcPr>
            <w:tcW w:w="1166" w:type="dxa"/>
            <w:tcBorders>
              <w:top w:val="nil"/>
              <w:left w:val="nil"/>
              <w:bottom w:val="nil"/>
              <w:right w:val="nil"/>
            </w:tcBorders>
            <w:shd w:val="clear" w:color="auto" w:fill="auto"/>
            <w:vAlign w:val="center"/>
            <w:hideMark/>
          </w:tcPr>
          <w:p w14:paraId="73A59E55" w14:textId="77777777" w:rsidR="0089194A" w:rsidRPr="0085125A" w:rsidRDefault="0089194A">
            <w:pPr>
              <w:jc w:val="center"/>
              <w:rPr>
                <w:sz w:val="20"/>
                <w:szCs w:val="20"/>
              </w:rPr>
            </w:pPr>
            <w:r w:rsidRPr="0085125A">
              <w:rPr>
                <w:sz w:val="20"/>
                <w:szCs w:val="20"/>
              </w:rPr>
              <w:t>-0.212**</w:t>
            </w:r>
          </w:p>
        </w:tc>
        <w:tc>
          <w:tcPr>
            <w:tcW w:w="1114" w:type="dxa"/>
            <w:tcBorders>
              <w:top w:val="nil"/>
              <w:left w:val="nil"/>
              <w:bottom w:val="nil"/>
              <w:right w:val="nil"/>
            </w:tcBorders>
            <w:shd w:val="clear" w:color="auto" w:fill="auto"/>
            <w:vAlign w:val="center"/>
            <w:hideMark/>
          </w:tcPr>
          <w:p w14:paraId="33B81CB7" w14:textId="77777777" w:rsidR="0089194A" w:rsidRPr="0085125A" w:rsidRDefault="0089194A">
            <w:pPr>
              <w:jc w:val="center"/>
              <w:rPr>
                <w:sz w:val="20"/>
                <w:szCs w:val="20"/>
              </w:rPr>
            </w:pPr>
            <w:r w:rsidRPr="0085125A">
              <w:rPr>
                <w:sz w:val="20"/>
                <w:szCs w:val="20"/>
              </w:rPr>
              <w:t>-59.16***</w:t>
            </w:r>
          </w:p>
        </w:tc>
        <w:tc>
          <w:tcPr>
            <w:tcW w:w="1080" w:type="dxa"/>
            <w:tcBorders>
              <w:top w:val="nil"/>
              <w:left w:val="nil"/>
              <w:bottom w:val="nil"/>
              <w:right w:val="nil"/>
            </w:tcBorders>
            <w:shd w:val="clear" w:color="auto" w:fill="auto"/>
            <w:vAlign w:val="center"/>
            <w:hideMark/>
          </w:tcPr>
          <w:p w14:paraId="39325972" w14:textId="77777777" w:rsidR="0089194A" w:rsidRPr="0085125A" w:rsidRDefault="0089194A">
            <w:pPr>
              <w:jc w:val="center"/>
              <w:rPr>
                <w:sz w:val="20"/>
                <w:szCs w:val="20"/>
              </w:rPr>
            </w:pPr>
            <w:r w:rsidRPr="0085125A">
              <w:rPr>
                <w:sz w:val="20"/>
                <w:szCs w:val="20"/>
              </w:rPr>
              <w:t>-352.6**</w:t>
            </w:r>
          </w:p>
        </w:tc>
        <w:tc>
          <w:tcPr>
            <w:tcW w:w="1170" w:type="dxa"/>
            <w:gridSpan w:val="2"/>
            <w:tcBorders>
              <w:top w:val="nil"/>
              <w:left w:val="nil"/>
              <w:bottom w:val="nil"/>
              <w:right w:val="nil"/>
            </w:tcBorders>
            <w:shd w:val="clear" w:color="auto" w:fill="auto"/>
            <w:vAlign w:val="center"/>
            <w:hideMark/>
          </w:tcPr>
          <w:p w14:paraId="5B9E3065" w14:textId="77777777" w:rsidR="0089194A" w:rsidRPr="0085125A" w:rsidRDefault="0089194A">
            <w:pPr>
              <w:jc w:val="center"/>
              <w:rPr>
                <w:sz w:val="20"/>
                <w:szCs w:val="20"/>
              </w:rPr>
            </w:pPr>
            <w:r w:rsidRPr="0085125A">
              <w:rPr>
                <w:sz w:val="20"/>
                <w:szCs w:val="20"/>
              </w:rPr>
              <w:t>4.853***</w:t>
            </w:r>
          </w:p>
        </w:tc>
      </w:tr>
      <w:tr w:rsidR="0089194A" w:rsidRPr="0085125A" w14:paraId="1B68B13E" w14:textId="77777777" w:rsidTr="00B417EC">
        <w:trPr>
          <w:trHeight w:val="300"/>
        </w:trPr>
        <w:tc>
          <w:tcPr>
            <w:tcW w:w="1339" w:type="dxa"/>
            <w:tcBorders>
              <w:top w:val="nil"/>
              <w:left w:val="nil"/>
              <w:bottom w:val="nil"/>
              <w:right w:val="nil"/>
            </w:tcBorders>
            <w:shd w:val="clear" w:color="auto" w:fill="auto"/>
            <w:vAlign w:val="center"/>
            <w:hideMark/>
          </w:tcPr>
          <w:p w14:paraId="281783E3"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292B5323" w14:textId="77777777" w:rsidR="0089194A" w:rsidRPr="0085125A" w:rsidRDefault="0089194A">
            <w:pPr>
              <w:jc w:val="center"/>
              <w:rPr>
                <w:sz w:val="20"/>
                <w:szCs w:val="20"/>
              </w:rPr>
            </w:pPr>
            <w:r w:rsidRPr="0085125A">
              <w:rPr>
                <w:sz w:val="20"/>
                <w:szCs w:val="20"/>
              </w:rPr>
              <w:t>-0.856</w:t>
            </w:r>
          </w:p>
        </w:tc>
        <w:tc>
          <w:tcPr>
            <w:tcW w:w="1099" w:type="dxa"/>
            <w:tcBorders>
              <w:top w:val="nil"/>
              <w:left w:val="nil"/>
              <w:bottom w:val="nil"/>
              <w:right w:val="nil"/>
            </w:tcBorders>
            <w:shd w:val="clear" w:color="auto" w:fill="auto"/>
            <w:vAlign w:val="center"/>
            <w:hideMark/>
          </w:tcPr>
          <w:p w14:paraId="7E213DFA" w14:textId="77777777" w:rsidR="0089194A" w:rsidRPr="0085125A" w:rsidRDefault="0089194A">
            <w:pPr>
              <w:jc w:val="center"/>
              <w:rPr>
                <w:sz w:val="20"/>
                <w:szCs w:val="20"/>
              </w:rPr>
            </w:pPr>
            <w:r w:rsidRPr="0085125A">
              <w:rPr>
                <w:sz w:val="20"/>
                <w:szCs w:val="20"/>
              </w:rPr>
              <w:t>-1.34</w:t>
            </w:r>
          </w:p>
        </w:tc>
        <w:tc>
          <w:tcPr>
            <w:tcW w:w="1050" w:type="dxa"/>
            <w:tcBorders>
              <w:top w:val="nil"/>
              <w:left w:val="nil"/>
              <w:bottom w:val="nil"/>
              <w:right w:val="nil"/>
            </w:tcBorders>
            <w:shd w:val="clear" w:color="auto" w:fill="auto"/>
            <w:vAlign w:val="center"/>
            <w:hideMark/>
          </w:tcPr>
          <w:p w14:paraId="5C539EF9" w14:textId="77777777" w:rsidR="0089194A" w:rsidRPr="0085125A" w:rsidRDefault="0089194A">
            <w:pPr>
              <w:jc w:val="center"/>
              <w:rPr>
                <w:sz w:val="20"/>
                <w:szCs w:val="20"/>
              </w:rPr>
            </w:pPr>
            <w:r w:rsidRPr="0085125A">
              <w:rPr>
                <w:sz w:val="20"/>
                <w:szCs w:val="20"/>
              </w:rPr>
              <w:t>-1.266</w:t>
            </w:r>
          </w:p>
        </w:tc>
        <w:tc>
          <w:tcPr>
            <w:tcW w:w="1166" w:type="dxa"/>
            <w:tcBorders>
              <w:top w:val="nil"/>
              <w:left w:val="nil"/>
              <w:bottom w:val="nil"/>
              <w:right w:val="nil"/>
            </w:tcBorders>
            <w:shd w:val="clear" w:color="auto" w:fill="auto"/>
            <w:vAlign w:val="center"/>
            <w:hideMark/>
          </w:tcPr>
          <w:p w14:paraId="0F0699BE" w14:textId="77777777" w:rsidR="0089194A" w:rsidRPr="0085125A" w:rsidRDefault="0089194A">
            <w:pPr>
              <w:jc w:val="center"/>
              <w:rPr>
                <w:sz w:val="20"/>
                <w:szCs w:val="20"/>
              </w:rPr>
            </w:pPr>
            <w:r w:rsidRPr="0085125A">
              <w:rPr>
                <w:sz w:val="20"/>
                <w:szCs w:val="20"/>
              </w:rPr>
              <w:t>-0.096</w:t>
            </w:r>
          </w:p>
        </w:tc>
        <w:tc>
          <w:tcPr>
            <w:tcW w:w="1114" w:type="dxa"/>
            <w:tcBorders>
              <w:top w:val="nil"/>
              <w:left w:val="nil"/>
              <w:bottom w:val="nil"/>
              <w:right w:val="nil"/>
            </w:tcBorders>
            <w:shd w:val="clear" w:color="auto" w:fill="auto"/>
            <w:vAlign w:val="center"/>
            <w:hideMark/>
          </w:tcPr>
          <w:p w14:paraId="0B44B4FD" w14:textId="77777777" w:rsidR="0089194A" w:rsidRPr="0085125A" w:rsidRDefault="0089194A">
            <w:pPr>
              <w:jc w:val="center"/>
              <w:rPr>
                <w:sz w:val="20"/>
                <w:szCs w:val="20"/>
              </w:rPr>
            </w:pPr>
            <w:r w:rsidRPr="0085125A">
              <w:rPr>
                <w:sz w:val="20"/>
                <w:szCs w:val="20"/>
              </w:rPr>
              <w:t>-22.24</w:t>
            </w:r>
          </w:p>
        </w:tc>
        <w:tc>
          <w:tcPr>
            <w:tcW w:w="1080" w:type="dxa"/>
            <w:tcBorders>
              <w:top w:val="nil"/>
              <w:left w:val="nil"/>
              <w:bottom w:val="nil"/>
              <w:right w:val="nil"/>
            </w:tcBorders>
            <w:shd w:val="clear" w:color="auto" w:fill="auto"/>
            <w:vAlign w:val="center"/>
            <w:hideMark/>
          </w:tcPr>
          <w:p w14:paraId="65E012C4" w14:textId="77777777" w:rsidR="0089194A" w:rsidRPr="0085125A" w:rsidRDefault="0089194A">
            <w:pPr>
              <w:jc w:val="center"/>
              <w:rPr>
                <w:sz w:val="20"/>
                <w:szCs w:val="20"/>
              </w:rPr>
            </w:pPr>
            <w:r w:rsidRPr="0085125A">
              <w:rPr>
                <w:sz w:val="20"/>
                <w:szCs w:val="20"/>
              </w:rPr>
              <w:t>-173.8</w:t>
            </w:r>
          </w:p>
        </w:tc>
        <w:tc>
          <w:tcPr>
            <w:tcW w:w="1170" w:type="dxa"/>
            <w:gridSpan w:val="2"/>
            <w:tcBorders>
              <w:top w:val="nil"/>
              <w:left w:val="nil"/>
              <w:bottom w:val="nil"/>
              <w:right w:val="nil"/>
            </w:tcBorders>
            <w:shd w:val="clear" w:color="auto" w:fill="auto"/>
            <w:vAlign w:val="center"/>
            <w:hideMark/>
          </w:tcPr>
          <w:p w14:paraId="603CE6A2" w14:textId="77777777" w:rsidR="0089194A" w:rsidRPr="0085125A" w:rsidRDefault="0089194A">
            <w:pPr>
              <w:jc w:val="center"/>
              <w:rPr>
                <w:sz w:val="20"/>
                <w:szCs w:val="20"/>
              </w:rPr>
            </w:pPr>
            <w:r w:rsidRPr="0085125A">
              <w:rPr>
                <w:sz w:val="20"/>
                <w:szCs w:val="20"/>
              </w:rPr>
              <w:t>-1.856</w:t>
            </w:r>
          </w:p>
        </w:tc>
      </w:tr>
      <w:tr w:rsidR="0089194A" w:rsidRPr="0085125A" w14:paraId="6A80E143" w14:textId="77777777" w:rsidTr="00B417EC">
        <w:trPr>
          <w:trHeight w:val="510"/>
        </w:trPr>
        <w:tc>
          <w:tcPr>
            <w:tcW w:w="1339" w:type="dxa"/>
            <w:tcBorders>
              <w:top w:val="nil"/>
              <w:left w:val="nil"/>
              <w:bottom w:val="nil"/>
              <w:right w:val="nil"/>
            </w:tcBorders>
            <w:shd w:val="clear" w:color="auto" w:fill="auto"/>
            <w:vAlign w:val="center"/>
            <w:hideMark/>
          </w:tcPr>
          <w:p w14:paraId="1A644994" w14:textId="77777777" w:rsidR="0089194A" w:rsidRPr="0085125A" w:rsidRDefault="0089194A">
            <w:pPr>
              <w:jc w:val="both"/>
              <w:rPr>
                <w:sz w:val="20"/>
                <w:szCs w:val="20"/>
              </w:rPr>
            </w:pPr>
            <w:r w:rsidRPr="0085125A">
              <w:rPr>
                <w:sz w:val="20"/>
                <w:szCs w:val="20"/>
              </w:rPr>
              <w:t>LD.Indust</w:t>
            </w:r>
          </w:p>
        </w:tc>
        <w:tc>
          <w:tcPr>
            <w:tcW w:w="1072" w:type="dxa"/>
            <w:tcBorders>
              <w:top w:val="nil"/>
              <w:left w:val="nil"/>
              <w:bottom w:val="nil"/>
              <w:right w:val="nil"/>
            </w:tcBorders>
            <w:shd w:val="clear" w:color="auto" w:fill="auto"/>
            <w:vAlign w:val="center"/>
            <w:hideMark/>
          </w:tcPr>
          <w:p w14:paraId="14677322" w14:textId="77777777" w:rsidR="0089194A" w:rsidRPr="0085125A" w:rsidRDefault="0089194A">
            <w:pPr>
              <w:jc w:val="center"/>
              <w:rPr>
                <w:sz w:val="20"/>
                <w:szCs w:val="20"/>
              </w:rPr>
            </w:pPr>
            <w:r w:rsidRPr="0085125A">
              <w:rPr>
                <w:sz w:val="20"/>
                <w:szCs w:val="20"/>
              </w:rPr>
              <w:t>0.000908</w:t>
            </w:r>
          </w:p>
        </w:tc>
        <w:tc>
          <w:tcPr>
            <w:tcW w:w="1099" w:type="dxa"/>
            <w:tcBorders>
              <w:top w:val="nil"/>
              <w:left w:val="nil"/>
              <w:bottom w:val="nil"/>
              <w:right w:val="nil"/>
            </w:tcBorders>
            <w:shd w:val="clear" w:color="auto" w:fill="auto"/>
            <w:vAlign w:val="center"/>
            <w:hideMark/>
          </w:tcPr>
          <w:p w14:paraId="5FB893F3" w14:textId="77777777" w:rsidR="0089194A" w:rsidRPr="0085125A" w:rsidRDefault="0089194A">
            <w:pPr>
              <w:jc w:val="center"/>
              <w:rPr>
                <w:sz w:val="20"/>
                <w:szCs w:val="20"/>
              </w:rPr>
            </w:pPr>
            <w:r w:rsidRPr="0085125A">
              <w:rPr>
                <w:sz w:val="20"/>
                <w:szCs w:val="20"/>
              </w:rPr>
              <w:t>0.0199</w:t>
            </w:r>
          </w:p>
        </w:tc>
        <w:tc>
          <w:tcPr>
            <w:tcW w:w="1050" w:type="dxa"/>
            <w:tcBorders>
              <w:top w:val="nil"/>
              <w:left w:val="nil"/>
              <w:bottom w:val="nil"/>
              <w:right w:val="nil"/>
            </w:tcBorders>
            <w:shd w:val="clear" w:color="auto" w:fill="auto"/>
            <w:vAlign w:val="center"/>
            <w:hideMark/>
          </w:tcPr>
          <w:p w14:paraId="4710BEBF" w14:textId="77777777" w:rsidR="0089194A" w:rsidRPr="0085125A" w:rsidRDefault="0089194A">
            <w:pPr>
              <w:jc w:val="center"/>
              <w:rPr>
                <w:sz w:val="20"/>
                <w:szCs w:val="20"/>
              </w:rPr>
            </w:pPr>
            <w:r w:rsidRPr="0085125A">
              <w:rPr>
                <w:sz w:val="20"/>
                <w:szCs w:val="20"/>
              </w:rPr>
              <w:t>0.0141</w:t>
            </w:r>
          </w:p>
        </w:tc>
        <w:tc>
          <w:tcPr>
            <w:tcW w:w="1166" w:type="dxa"/>
            <w:tcBorders>
              <w:top w:val="nil"/>
              <w:left w:val="nil"/>
              <w:bottom w:val="nil"/>
              <w:right w:val="nil"/>
            </w:tcBorders>
            <w:shd w:val="clear" w:color="auto" w:fill="auto"/>
            <w:vAlign w:val="center"/>
            <w:hideMark/>
          </w:tcPr>
          <w:p w14:paraId="68728DAF" w14:textId="77777777" w:rsidR="0089194A" w:rsidRPr="0085125A" w:rsidRDefault="0089194A">
            <w:pPr>
              <w:jc w:val="center"/>
              <w:rPr>
                <w:sz w:val="20"/>
                <w:szCs w:val="20"/>
              </w:rPr>
            </w:pPr>
            <w:r w:rsidRPr="0085125A">
              <w:rPr>
                <w:sz w:val="20"/>
                <w:szCs w:val="20"/>
              </w:rPr>
              <w:t>0.00537***</w:t>
            </w:r>
          </w:p>
        </w:tc>
        <w:tc>
          <w:tcPr>
            <w:tcW w:w="1114" w:type="dxa"/>
            <w:tcBorders>
              <w:top w:val="nil"/>
              <w:left w:val="nil"/>
              <w:bottom w:val="nil"/>
              <w:right w:val="nil"/>
            </w:tcBorders>
            <w:shd w:val="clear" w:color="auto" w:fill="auto"/>
            <w:vAlign w:val="center"/>
            <w:hideMark/>
          </w:tcPr>
          <w:p w14:paraId="0DB26CC9" w14:textId="77777777" w:rsidR="0089194A" w:rsidRPr="0085125A" w:rsidRDefault="0089194A">
            <w:pPr>
              <w:jc w:val="center"/>
              <w:rPr>
                <w:sz w:val="20"/>
                <w:szCs w:val="20"/>
              </w:rPr>
            </w:pPr>
            <w:r w:rsidRPr="0085125A">
              <w:rPr>
                <w:sz w:val="20"/>
                <w:szCs w:val="20"/>
              </w:rPr>
              <w:t>-0.414</w:t>
            </w:r>
          </w:p>
        </w:tc>
        <w:tc>
          <w:tcPr>
            <w:tcW w:w="1080" w:type="dxa"/>
            <w:tcBorders>
              <w:top w:val="nil"/>
              <w:left w:val="nil"/>
              <w:bottom w:val="nil"/>
              <w:right w:val="nil"/>
            </w:tcBorders>
            <w:shd w:val="clear" w:color="auto" w:fill="auto"/>
            <w:vAlign w:val="center"/>
            <w:hideMark/>
          </w:tcPr>
          <w:p w14:paraId="11041850" w14:textId="77777777" w:rsidR="0089194A" w:rsidRPr="0085125A" w:rsidRDefault="0089194A">
            <w:pPr>
              <w:jc w:val="center"/>
              <w:rPr>
                <w:sz w:val="20"/>
                <w:szCs w:val="20"/>
              </w:rPr>
            </w:pPr>
            <w:r w:rsidRPr="0085125A">
              <w:rPr>
                <w:sz w:val="20"/>
                <w:szCs w:val="20"/>
              </w:rPr>
              <w:t>3.42</w:t>
            </w:r>
          </w:p>
        </w:tc>
        <w:tc>
          <w:tcPr>
            <w:tcW w:w="1170" w:type="dxa"/>
            <w:gridSpan w:val="2"/>
            <w:tcBorders>
              <w:top w:val="nil"/>
              <w:left w:val="nil"/>
              <w:bottom w:val="nil"/>
              <w:right w:val="nil"/>
            </w:tcBorders>
            <w:shd w:val="clear" w:color="auto" w:fill="auto"/>
            <w:vAlign w:val="center"/>
            <w:hideMark/>
          </w:tcPr>
          <w:p w14:paraId="65257EDD" w14:textId="77777777" w:rsidR="0089194A" w:rsidRPr="0085125A" w:rsidRDefault="0089194A">
            <w:pPr>
              <w:jc w:val="center"/>
              <w:rPr>
                <w:sz w:val="20"/>
                <w:szCs w:val="20"/>
              </w:rPr>
            </w:pPr>
            <w:r w:rsidRPr="0085125A">
              <w:rPr>
                <w:sz w:val="20"/>
                <w:szCs w:val="20"/>
              </w:rPr>
              <w:t>0.0327</w:t>
            </w:r>
          </w:p>
        </w:tc>
      </w:tr>
      <w:tr w:rsidR="0089194A" w:rsidRPr="0085125A" w14:paraId="1DFD4B9A"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6D4EC6A4"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022772B9" w14:textId="77777777" w:rsidR="0089194A" w:rsidRPr="0085125A" w:rsidRDefault="0089194A">
            <w:pPr>
              <w:jc w:val="center"/>
              <w:rPr>
                <w:sz w:val="20"/>
                <w:szCs w:val="20"/>
              </w:rPr>
            </w:pPr>
            <w:r w:rsidRPr="0085125A">
              <w:rPr>
                <w:sz w:val="20"/>
                <w:szCs w:val="20"/>
              </w:rPr>
              <w:t>-0.014</w:t>
            </w:r>
          </w:p>
        </w:tc>
        <w:tc>
          <w:tcPr>
            <w:tcW w:w="1099" w:type="dxa"/>
            <w:tcBorders>
              <w:top w:val="nil"/>
              <w:left w:val="nil"/>
              <w:bottom w:val="nil"/>
              <w:right w:val="nil"/>
            </w:tcBorders>
            <w:shd w:val="clear" w:color="auto" w:fill="auto"/>
            <w:vAlign w:val="center"/>
            <w:hideMark/>
          </w:tcPr>
          <w:p w14:paraId="3E68E179" w14:textId="77777777" w:rsidR="0089194A" w:rsidRPr="0085125A" w:rsidRDefault="0089194A">
            <w:pPr>
              <w:jc w:val="center"/>
              <w:rPr>
                <w:sz w:val="20"/>
                <w:szCs w:val="20"/>
              </w:rPr>
            </w:pPr>
            <w:r w:rsidRPr="0085125A">
              <w:rPr>
                <w:sz w:val="20"/>
                <w:szCs w:val="20"/>
              </w:rPr>
              <w:t>-0.0219</w:t>
            </w:r>
          </w:p>
        </w:tc>
        <w:tc>
          <w:tcPr>
            <w:tcW w:w="1050" w:type="dxa"/>
            <w:tcBorders>
              <w:top w:val="nil"/>
              <w:left w:val="nil"/>
              <w:bottom w:val="nil"/>
              <w:right w:val="nil"/>
            </w:tcBorders>
            <w:shd w:val="clear" w:color="auto" w:fill="auto"/>
            <w:vAlign w:val="center"/>
            <w:hideMark/>
          </w:tcPr>
          <w:p w14:paraId="589EB6A0" w14:textId="77777777" w:rsidR="0089194A" w:rsidRPr="0085125A" w:rsidRDefault="0089194A">
            <w:pPr>
              <w:jc w:val="center"/>
              <w:rPr>
                <w:sz w:val="20"/>
                <w:szCs w:val="20"/>
              </w:rPr>
            </w:pPr>
            <w:r w:rsidRPr="0085125A">
              <w:rPr>
                <w:sz w:val="20"/>
                <w:szCs w:val="20"/>
              </w:rPr>
              <w:t>-0.0207</w:t>
            </w:r>
          </w:p>
        </w:tc>
        <w:tc>
          <w:tcPr>
            <w:tcW w:w="1166" w:type="dxa"/>
            <w:tcBorders>
              <w:top w:val="nil"/>
              <w:left w:val="nil"/>
              <w:bottom w:val="nil"/>
              <w:right w:val="nil"/>
            </w:tcBorders>
            <w:shd w:val="clear" w:color="auto" w:fill="auto"/>
            <w:vAlign w:val="center"/>
            <w:hideMark/>
          </w:tcPr>
          <w:p w14:paraId="5BD0F689" w14:textId="77777777" w:rsidR="0089194A" w:rsidRPr="0085125A" w:rsidRDefault="0089194A">
            <w:pPr>
              <w:jc w:val="center"/>
              <w:rPr>
                <w:sz w:val="20"/>
                <w:szCs w:val="20"/>
              </w:rPr>
            </w:pPr>
            <w:r w:rsidRPr="0085125A">
              <w:rPr>
                <w:sz w:val="20"/>
                <w:szCs w:val="20"/>
              </w:rPr>
              <w:t>-0.00157</w:t>
            </w:r>
          </w:p>
        </w:tc>
        <w:tc>
          <w:tcPr>
            <w:tcW w:w="1114" w:type="dxa"/>
            <w:tcBorders>
              <w:top w:val="nil"/>
              <w:left w:val="nil"/>
              <w:bottom w:val="nil"/>
              <w:right w:val="nil"/>
            </w:tcBorders>
            <w:shd w:val="clear" w:color="auto" w:fill="auto"/>
            <w:vAlign w:val="center"/>
            <w:hideMark/>
          </w:tcPr>
          <w:p w14:paraId="7A8EBA83" w14:textId="77777777" w:rsidR="0089194A" w:rsidRPr="0085125A" w:rsidRDefault="0089194A">
            <w:pPr>
              <w:jc w:val="center"/>
              <w:rPr>
                <w:sz w:val="20"/>
                <w:szCs w:val="20"/>
              </w:rPr>
            </w:pPr>
            <w:r w:rsidRPr="0085125A">
              <w:rPr>
                <w:sz w:val="20"/>
                <w:szCs w:val="20"/>
              </w:rPr>
              <w:t>-0.363</w:t>
            </w:r>
          </w:p>
        </w:tc>
        <w:tc>
          <w:tcPr>
            <w:tcW w:w="1080" w:type="dxa"/>
            <w:tcBorders>
              <w:top w:val="nil"/>
              <w:left w:val="nil"/>
              <w:bottom w:val="nil"/>
              <w:right w:val="nil"/>
            </w:tcBorders>
            <w:shd w:val="clear" w:color="auto" w:fill="auto"/>
            <w:vAlign w:val="center"/>
            <w:hideMark/>
          </w:tcPr>
          <w:p w14:paraId="50961E23" w14:textId="77777777" w:rsidR="0089194A" w:rsidRPr="0085125A" w:rsidRDefault="0089194A">
            <w:pPr>
              <w:jc w:val="center"/>
              <w:rPr>
                <w:sz w:val="20"/>
                <w:szCs w:val="20"/>
              </w:rPr>
            </w:pPr>
            <w:r w:rsidRPr="0085125A">
              <w:rPr>
                <w:sz w:val="20"/>
                <w:szCs w:val="20"/>
              </w:rPr>
              <w:t>-2.836</w:t>
            </w:r>
          </w:p>
        </w:tc>
        <w:tc>
          <w:tcPr>
            <w:tcW w:w="1080" w:type="dxa"/>
            <w:tcBorders>
              <w:top w:val="nil"/>
              <w:left w:val="nil"/>
              <w:bottom w:val="nil"/>
              <w:right w:val="nil"/>
            </w:tcBorders>
            <w:shd w:val="clear" w:color="auto" w:fill="auto"/>
            <w:vAlign w:val="center"/>
            <w:hideMark/>
          </w:tcPr>
          <w:p w14:paraId="2A0F09F2" w14:textId="77777777" w:rsidR="0089194A" w:rsidRPr="0085125A" w:rsidRDefault="0089194A">
            <w:pPr>
              <w:jc w:val="center"/>
              <w:rPr>
                <w:sz w:val="20"/>
                <w:szCs w:val="20"/>
              </w:rPr>
            </w:pPr>
            <w:r w:rsidRPr="0085125A">
              <w:rPr>
                <w:sz w:val="20"/>
                <w:szCs w:val="20"/>
              </w:rPr>
              <w:t>-0.0303</w:t>
            </w:r>
          </w:p>
        </w:tc>
      </w:tr>
      <w:tr w:rsidR="0089194A" w:rsidRPr="0085125A" w14:paraId="45375603" w14:textId="77777777" w:rsidTr="00B417EC">
        <w:trPr>
          <w:gridAfter w:val="1"/>
          <w:wAfter w:w="90" w:type="dxa"/>
          <w:trHeight w:val="510"/>
        </w:trPr>
        <w:tc>
          <w:tcPr>
            <w:tcW w:w="1339" w:type="dxa"/>
            <w:tcBorders>
              <w:top w:val="nil"/>
              <w:left w:val="nil"/>
              <w:bottom w:val="nil"/>
              <w:right w:val="nil"/>
            </w:tcBorders>
            <w:shd w:val="clear" w:color="auto" w:fill="auto"/>
            <w:vAlign w:val="center"/>
            <w:hideMark/>
          </w:tcPr>
          <w:p w14:paraId="194A1FC0" w14:textId="77777777" w:rsidR="0089194A" w:rsidRPr="0085125A" w:rsidRDefault="0089194A">
            <w:pPr>
              <w:jc w:val="both"/>
              <w:rPr>
                <w:sz w:val="20"/>
                <w:szCs w:val="20"/>
              </w:rPr>
            </w:pPr>
            <w:r w:rsidRPr="0085125A">
              <w:rPr>
                <w:sz w:val="20"/>
                <w:szCs w:val="20"/>
              </w:rPr>
              <w:t>L2D.Indust</w:t>
            </w:r>
          </w:p>
        </w:tc>
        <w:tc>
          <w:tcPr>
            <w:tcW w:w="1072" w:type="dxa"/>
            <w:tcBorders>
              <w:top w:val="nil"/>
              <w:left w:val="nil"/>
              <w:bottom w:val="nil"/>
              <w:right w:val="nil"/>
            </w:tcBorders>
            <w:shd w:val="clear" w:color="auto" w:fill="auto"/>
            <w:vAlign w:val="center"/>
            <w:hideMark/>
          </w:tcPr>
          <w:p w14:paraId="4BB0C332" w14:textId="77777777" w:rsidR="0089194A" w:rsidRPr="0085125A" w:rsidRDefault="0089194A">
            <w:pPr>
              <w:jc w:val="center"/>
              <w:rPr>
                <w:sz w:val="20"/>
                <w:szCs w:val="20"/>
              </w:rPr>
            </w:pPr>
            <w:r w:rsidRPr="0085125A">
              <w:rPr>
                <w:sz w:val="20"/>
                <w:szCs w:val="20"/>
              </w:rPr>
              <w:t>-0.000749</w:t>
            </w:r>
          </w:p>
        </w:tc>
        <w:tc>
          <w:tcPr>
            <w:tcW w:w="1099" w:type="dxa"/>
            <w:tcBorders>
              <w:top w:val="nil"/>
              <w:left w:val="nil"/>
              <w:bottom w:val="nil"/>
              <w:right w:val="nil"/>
            </w:tcBorders>
            <w:shd w:val="clear" w:color="auto" w:fill="auto"/>
            <w:vAlign w:val="center"/>
            <w:hideMark/>
          </w:tcPr>
          <w:p w14:paraId="573D22B7" w14:textId="77777777" w:rsidR="0089194A" w:rsidRPr="0085125A" w:rsidRDefault="0089194A">
            <w:pPr>
              <w:jc w:val="center"/>
              <w:rPr>
                <w:sz w:val="20"/>
                <w:szCs w:val="20"/>
              </w:rPr>
            </w:pPr>
            <w:r w:rsidRPr="0085125A">
              <w:rPr>
                <w:sz w:val="20"/>
                <w:szCs w:val="20"/>
              </w:rPr>
              <w:t>-0.0134</w:t>
            </w:r>
          </w:p>
        </w:tc>
        <w:tc>
          <w:tcPr>
            <w:tcW w:w="1050" w:type="dxa"/>
            <w:tcBorders>
              <w:top w:val="nil"/>
              <w:left w:val="nil"/>
              <w:bottom w:val="nil"/>
              <w:right w:val="nil"/>
            </w:tcBorders>
            <w:shd w:val="clear" w:color="auto" w:fill="auto"/>
            <w:vAlign w:val="center"/>
            <w:hideMark/>
          </w:tcPr>
          <w:p w14:paraId="5F69A03E" w14:textId="77777777" w:rsidR="0089194A" w:rsidRPr="0085125A" w:rsidRDefault="0089194A">
            <w:pPr>
              <w:jc w:val="center"/>
              <w:rPr>
                <w:sz w:val="20"/>
                <w:szCs w:val="20"/>
              </w:rPr>
            </w:pPr>
            <w:r w:rsidRPr="0085125A">
              <w:rPr>
                <w:sz w:val="20"/>
                <w:szCs w:val="20"/>
              </w:rPr>
              <w:t>-0.0146</w:t>
            </w:r>
          </w:p>
        </w:tc>
        <w:tc>
          <w:tcPr>
            <w:tcW w:w="1166" w:type="dxa"/>
            <w:tcBorders>
              <w:top w:val="nil"/>
              <w:left w:val="nil"/>
              <w:bottom w:val="nil"/>
              <w:right w:val="nil"/>
            </w:tcBorders>
            <w:shd w:val="clear" w:color="auto" w:fill="auto"/>
            <w:vAlign w:val="center"/>
            <w:hideMark/>
          </w:tcPr>
          <w:p w14:paraId="72355B96" w14:textId="77777777" w:rsidR="0089194A" w:rsidRPr="0085125A" w:rsidRDefault="0089194A">
            <w:pPr>
              <w:jc w:val="center"/>
              <w:rPr>
                <w:sz w:val="20"/>
                <w:szCs w:val="20"/>
              </w:rPr>
            </w:pPr>
            <w:r w:rsidRPr="0085125A">
              <w:rPr>
                <w:sz w:val="20"/>
                <w:szCs w:val="20"/>
              </w:rPr>
              <w:t>-0.000816</w:t>
            </w:r>
          </w:p>
        </w:tc>
        <w:tc>
          <w:tcPr>
            <w:tcW w:w="1114" w:type="dxa"/>
            <w:tcBorders>
              <w:top w:val="nil"/>
              <w:left w:val="nil"/>
              <w:bottom w:val="nil"/>
              <w:right w:val="nil"/>
            </w:tcBorders>
            <w:shd w:val="clear" w:color="auto" w:fill="auto"/>
            <w:vAlign w:val="center"/>
            <w:hideMark/>
          </w:tcPr>
          <w:p w14:paraId="04078D5F" w14:textId="77777777" w:rsidR="0089194A" w:rsidRPr="0085125A" w:rsidRDefault="0089194A">
            <w:pPr>
              <w:jc w:val="center"/>
              <w:rPr>
                <w:sz w:val="20"/>
                <w:szCs w:val="20"/>
              </w:rPr>
            </w:pPr>
            <w:r w:rsidRPr="0085125A">
              <w:rPr>
                <w:sz w:val="20"/>
                <w:szCs w:val="20"/>
              </w:rPr>
              <w:t>-0.748*</w:t>
            </w:r>
          </w:p>
        </w:tc>
        <w:tc>
          <w:tcPr>
            <w:tcW w:w="1080" w:type="dxa"/>
            <w:tcBorders>
              <w:top w:val="nil"/>
              <w:left w:val="nil"/>
              <w:bottom w:val="nil"/>
              <w:right w:val="nil"/>
            </w:tcBorders>
            <w:shd w:val="clear" w:color="auto" w:fill="auto"/>
            <w:vAlign w:val="center"/>
            <w:hideMark/>
          </w:tcPr>
          <w:p w14:paraId="30C71D00" w14:textId="77777777" w:rsidR="0089194A" w:rsidRPr="0085125A" w:rsidRDefault="0089194A">
            <w:pPr>
              <w:jc w:val="center"/>
              <w:rPr>
                <w:sz w:val="20"/>
                <w:szCs w:val="20"/>
              </w:rPr>
            </w:pPr>
            <w:r w:rsidRPr="0085125A">
              <w:rPr>
                <w:sz w:val="20"/>
                <w:szCs w:val="20"/>
              </w:rPr>
              <w:t>-0.367</w:t>
            </w:r>
          </w:p>
        </w:tc>
        <w:tc>
          <w:tcPr>
            <w:tcW w:w="1080" w:type="dxa"/>
            <w:tcBorders>
              <w:top w:val="nil"/>
              <w:left w:val="nil"/>
              <w:bottom w:val="nil"/>
              <w:right w:val="nil"/>
            </w:tcBorders>
            <w:shd w:val="clear" w:color="auto" w:fill="auto"/>
            <w:vAlign w:val="center"/>
            <w:hideMark/>
          </w:tcPr>
          <w:p w14:paraId="61B05846" w14:textId="77777777" w:rsidR="0089194A" w:rsidRPr="0085125A" w:rsidRDefault="0089194A">
            <w:pPr>
              <w:jc w:val="center"/>
              <w:rPr>
                <w:sz w:val="20"/>
                <w:szCs w:val="20"/>
              </w:rPr>
            </w:pPr>
            <w:r w:rsidRPr="0085125A">
              <w:rPr>
                <w:sz w:val="20"/>
                <w:szCs w:val="20"/>
              </w:rPr>
              <w:t>0.023</w:t>
            </w:r>
          </w:p>
        </w:tc>
      </w:tr>
      <w:tr w:rsidR="0089194A" w:rsidRPr="0085125A" w14:paraId="2042A450"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76EB9019"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4603F536" w14:textId="77777777" w:rsidR="0089194A" w:rsidRPr="0085125A" w:rsidRDefault="0089194A">
            <w:pPr>
              <w:jc w:val="center"/>
              <w:rPr>
                <w:sz w:val="20"/>
                <w:szCs w:val="20"/>
              </w:rPr>
            </w:pPr>
            <w:r w:rsidRPr="0085125A">
              <w:rPr>
                <w:sz w:val="20"/>
                <w:szCs w:val="20"/>
              </w:rPr>
              <w:t>-0.0158</w:t>
            </w:r>
          </w:p>
        </w:tc>
        <w:tc>
          <w:tcPr>
            <w:tcW w:w="1099" w:type="dxa"/>
            <w:tcBorders>
              <w:top w:val="nil"/>
              <w:left w:val="nil"/>
              <w:bottom w:val="nil"/>
              <w:right w:val="nil"/>
            </w:tcBorders>
            <w:shd w:val="clear" w:color="auto" w:fill="auto"/>
            <w:vAlign w:val="center"/>
            <w:hideMark/>
          </w:tcPr>
          <w:p w14:paraId="20E2E246" w14:textId="77777777" w:rsidR="0089194A" w:rsidRPr="0085125A" w:rsidRDefault="0089194A">
            <w:pPr>
              <w:jc w:val="center"/>
              <w:rPr>
                <w:sz w:val="20"/>
                <w:szCs w:val="20"/>
              </w:rPr>
            </w:pPr>
            <w:r w:rsidRPr="0085125A">
              <w:rPr>
                <w:sz w:val="20"/>
                <w:szCs w:val="20"/>
              </w:rPr>
              <w:t>-0.0248</w:t>
            </w:r>
          </w:p>
        </w:tc>
        <w:tc>
          <w:tcPr>
            <w:tcW w:w="1050" w:type="dxa"/>
            <w:tcBorders>
              <w:top w:val="nil"/>
              <w:left w:val="nil"/>
              <w:bottom w:val="nil"/>
              <w:right w:val="nil"/>
            </w:tcBorders>
            <w:shd w:val="clear" w:color="auto" w:fill="auto"/>
            <w:vAlign w:val="center"/>
            <w:hideMark/>
          </w:tcPr>
          <w:p w14:paraId="3B0F601C" w14:textId="77777777" w:rsidR="0089194A" w:rsidRPr="0085125A" w:rsidRDefault="0089194A">
            <w:pPr>
              <w:jc w:val="center"/>
              <w:rPr>
                <w:sz w:val="20"/>
                <w:szCs w:val="20"/>
              </w:rPr>
            </w:pPr>
            <w:r w:rsidRPr="0085125A">
              <w:rPr>
                <w:sz w:val="20"/>
                <w:szCs w:val="20"/>
              </w:rPr>
              <w:t>-0.0234</w:t>
            </w:r>
          </w:p>
        </w:tc>
        <w:tc>
          <w:tcPr>
            <w:tcW w:w="1166" w:type="dxa"/>
            <w:tcBorders>
              <w:top w:val="nil"/>
              <w:left w:val="nil"/>
              <w:bottom w:val="nil"/>
              <w:right w:val="nil"/>
            </w:tcBorders>
            <w:shd w:val="clear" w:color="auto" w:fill="auto"/>
            <w:vAlign w:val="center"/>
            <w:hideMark/>
          </w:tcPr>
          <w:p w14:paraId="57E6F35A" w14:textId="77777777" w:rsidR="0089194A" w:rsidRPr="0085125A" w:rsidRDefault="0089194A">
            <w:pPr>
              <w:jc w:val="center"/>
              <w:rPr>
                <w:sz w:val="20"/>
                <w:szCs w:val="20"/>
              </w:rPr>
            </w:pPr>
            <w:r w:rsidRPr="0085125A">
              <w:rPr>
                <w:sz w:val="20"/>
                <w:szCs w:val="20"/>
              </w:rPr>
              <w:t>-0.00178</w:t>
            </w:r>
          </w:p>
        </w:tc>
        <w:tc>
          <w:tcPr>
            <w:tcW w:w="1114" w:type="dxa"/>
            <w:tcBorders>
              <w:top w:val="nil"/>
              <w:left w:val="nil"/>
              <w:bottom w:val="nil"/>
              <w:right w:val="nil"/>
            </w:tcBorders>
            <w:shd w:val="clear" w:color="auto" w:fill="auto"/>
            <w:vAlign w:val="center"/>
            <w:hideMark/>
          </w:tcPr>
          <w:p w14:paraId="5212B416" w14:textId="77777777" w:rsidR="0089194A" w:rsidRPr="0085125A" w:rsidRDefault="0089194A">
            <w:pPr>
              <w:jc w:val="center"/>
              <w:rPr>
                <w:sz w:val="20"/>
                <w:szCs w:val="20"/>
              </w:rPr>
            </w:pPr>
            <w:r w:rsidRPr="0085125A">
              <w:rPr>
                <w:sz w:val="20"/>
                <w:szCs w:val="20"/>
              </w:rPr>
              <w:t>-0.412</w:t>
            </w:r>
          </w:p>
        </w:tc>
        <w:tc>
          <w:tcPr>
            <w:tcW w:w="1080" w:type="dxa"/>
            <w:tcBorders>
              <w:top w:val="nil"/>
              <w:left w:val="nil"/>
              <w:bottom w:val="nil"/>
              <w:right w:val="nil"/>
            </w:tcBorders>
            <w:shd w:val="clear" w:color="auto" w:fill="auto"/>
            <w:vAlign w:val="center"/>
            <w:hideMark/>
          </w:tcPr>
          <w:p w14:paraId="32939B84" w14:textId="77777777" w:rsidR="0089194A" w:rsidRPr="0085125A" w:rsidRDefault="0089194A">
            <w:pPr>
              <w:jc w:val="center"/>
              <w:rPr>
                <w:sz w:val="20"/>
                <w:szCs w:val="20"/>
              </w:rPr>
            </w:pPr>
            <w:r w:rsidRPr="0085125A">
              <w:rPr>
                <w:sz w:val="20"/>
                <w:szCs w:val="20"/>
              </w:rPr>
              <w:t>-3.215</w:t>
            </w:r>
          </w:p>
        </w:tc>
        <w:tc>
          <w:tcPr>
            <w:tcW w:w="1080" w:type="dxa"/>
            <w:tcBorders>
              <w:top w:val="nil"/>
              <w:left w:val="nil"/>
              <w:bottom w:val="nil"/>
              <w:right w:val="nil"/>
            </w:tcBorders>
            <w:shd w:val="clear" w:color="auto" w:fill="auto"/>
            <w:vAlign w:val="center"/>
            <w:hideMark/>
          </w:tcPr>
          <w:p w14:paraId="63C1E387" w14:textId="77777777" w:rsidR="0089194A" w:rsidRPr="0085125A" w:rsidRDefault="0089194A">
            <w:pPr>
              <w:jc w:val="center"/>
              <w:rPr>
                <w:sz w:val="20"/>
                <w:szCs w:val="20"/>
              </w:rPr>
            </w:pPr>
            <w:r w:rsidRPr="0085125A">
              <w:rPr>
                <w:sz w:val="20"/>
                <w:szCs w:val="20"/>
              </w:rPr>
              <w:t>-0.0343</w:t>
            </w:r>
          </w:p>
        </w:tc>
      </w:tr>
      <w:tr w:rsidR="0089194A" w:rsidRPr="0085125A" w14:paraId="1192300E" w14:textId="77777777" w:rsidTr="00B417EC">
        <w:trPr>
          <w:gridAfter w:val="1"/>
          <w:wAfter w:w="90" w:type="dxa"/>
          <w:trHeight w:val="510"/>
        </w:trPr>
        <w:tc>
          <w:tcPr>
            <w:tcW w:w="1339" w:type="dxa"/>
            <w:tcBorders>
              <w:top w:val="nil"/>
              <w:left w:val="nil"/>
              <w:bottom w:val="nil"/>
              <w:right w:val="nil"/>
            </w:tcBorders>
            <w:shd w:val="clear" w:color="auto" w:fill="auto"/>
            <w:vAlign w:val="center"/>
            <w:hideMark/>
          </w:tcPr>
          <w:p w14:paraId="37A6449D" w14:textId="77777777" w:rsidR="0089194A" w:rsidRPr="0085125A" w:rsidRDefault="0089194A">
            <w:pPr>
              <w:jc w:val="both"/>
              <w:rPr>
                <w:sz w:val="20"/>
                <w:szCs w:val="20"/>
              </w:rPr>
            </w:pPr>
            <w:r w:rsidRPr="0085125A">
              <w:rPr>
                <w:sz w:val="20"/>
                <w:szCs w:val="20"/>
              </w:rPr>
              <w:t>LD.LFDI</w:t>
            </w:r>
          </w:p>
        </w:tc>
        <w:tc>
          <w:tcPr>
            <w:tcW w:w="1072" w:type="dxa"/>
            <w:tcBorders>
              <w:top w:val="nil"/>
              <w:left w:val="nil"/>
              <w:bottom w:val="nil"/>
              <w:right w:val="nil"/>
            </w:tcBorders>
            <w:shd w:val="clear" w:color="auto" w:fill="auto"/>
            <w:vAlign w:val="center"/>
            <w:hideMark/>
          </w:tcPr>
          <w:p w14:paraId="00A313AE" w14:textId="77777777" w:rsidR="0089194A" w:rsidRPr="0085125A" w:rsidRDefault="0089194A">
            <w:pPr>
              <w:jc w:val="center"/>
              <w:rPr>
                <w:sz w:val="20"/>
                <w:szCs w:val="20"/>
              </w:rPr>
            </w:pPr>
            <w:r w:rsidRPr="0085125A">
              <w:rPr>
                <w:sz w:val="20"/>
                <w:szCs w:val="20"/>
              </w:rPr>
              <w:t>0.000262</w:t>
            </w:r>
          </w:p>
        </w:tc>
        <w:tc>
          <w:tcPr>
            <w:tcW w:w="1099" w:type="dxa"/>
            <w:tcBorders>
              <w:top w:val="nil"/>
              <w:left w:val="nil"/>
              <w:bottom w:val="nil"/>
              <w:right w:val="nil"/>
            </w:tcBorders>
            <w:shd w:val="clear" w:color="auto" w:fill="auto"/>
            <w:vAlign w:val="center"/>
            <w:hideMark/>
          </w:tcPr>
          <w:p w14:paraId="0B36A91F" w14:textId="77777777" w:rsidR="0089194A" w:rsidRPr="0085125A" w:rsidRDefault="0089194A">
            <w:pPr>
              <w:jc w:val="center"/>
              <w:rPr>
                <w:sz w:val="20"/>
                <w:szCs w:val="20"/>
              </w:rPr>
            </w:pPr>
            <w:r w:rsidRPr="0085125A">
              <w:rPr>
                <w:sz w:val="20"/>
                <w:szCs w:val="20"/>
              </w:rPr>
              <w:t>0.00215</w:t>
            </w:r>
          </w:p>
        </w:tc>
        <w:tc>
          <w:tcPr>
            <w:tcW w:w="1050" w:type="dxa"/>
            <w:tcBorders>
              <w:top w:val="nil"/>
              <w:left w:val="nil"/>
              <w:bottom w:val="nil"/>
              <w:right w:val="nil"/>
            </w:tcBorders>
            <w:shd w:val="clear" w:color="auto" w:fill="auto"/>
            <w:vAlign w:val="center"/>
            <w:hideMark/>
          </w:tcPr>
          <w:p w14:paraId="4B02B280" w14:textId="77777777" w:rsidR="0089194A" w:rsidRPr="0085125A" w:rsidRDefault="0089194A">
            <w:pPr>
              <w:jc w:val="center"/>
              <w:rPr>
                <w:sz w:val="20"/>
                <w:szCs w:val="20"/>
              </w:rPr>
            </w:pPr>
            <w:r w:rsidRPr="0085125A">
              <w:rPr>
                <w:sz w:val="20"/>
                <w:szCs w:val="20"/>
              </w:rPr>
              <w:t>0.000925</w:t>
            </w:r>
          </w:p>
        </w:tc>
        <w:tc>
          <w:tcPr>
            <w:tcW w:w="1166" w:type="dxa"/>
            <w:tcBorders>
              <w:top w:val="nil"/>
              <w:left w:val="nil"/>
              <w:bottom w:val="nil"/>
              <w:right w:val="nil"/>
            </w:tcBorders>
            <w:shd w:val="clear" w:color="auto" w:fill="auto"/>
            <w:vAlign w:val="center"/>
            <w:hideMark/>
          </w:tcPr>
          <w:p w14:paraId="4186AC3C" w14:textId="77777777" w:rsidR="0089194A" w:rsidRPr="0085125A" w:rsidRDefault="0089194A">
            <w:pPr>
              <w:jc w:val="center"/>
              <w:rPr>
                <w:sz w:val="20"/>
                <w:szCs w:val="20"/>
              </w:rPr>
            </w:pPr>
            <w:r w:rsidRPr="0085125A">
              <w:rPr>
                <w:sz w:val="20"/>
                <w:szCs w:val="20"/>
              </w:rPr>
              <w:t>0.000338**</w:t>
            </w:r>
          </w:p>
        </w:tc>
        <w:tc>
          <w:tcPr>
            <w:tcW w:w="1114" w:type="dxa"/>
            <w:tcBorders>
              <w:top w:val="nil"/>
              <w:left w:val="nil"/>
              <w:bottom w:val="nil"/>
              <w:right w:val="nil"/>
            </w:tcBorders>
            <w:shd w:val="clear" w:color="auto" w:fill="auto"/>
            <w:vAlign w:val="center"/>
            <w:hideMark/>
          </w:tcPr>
          <w:p w14:paraId="668A3FC7" w14:textId="77777777" w:rsidR="0089194A" w:rsidRPr="0085125A" w:rsidRDefault="0089194A">
            <w:pPr>
              <w:jc w:val="center"/>
              <w:rPr>
                <w:sz w:val="20"/>
                <w:szCs w:val="20"/>
              </w:rPr>
            </w:pPr>
            <w:r w:rsidRPr="0085125A">
              <w:rPr>
                <w:sz w:val="20"/>
                <w:szCs w:val="20"/>
              </w:rPr>
              <w:t>0.0251</w:t>
            </w:r>
          </w:p>
        </w:tc>
        <w:tc>
          <w:tcPr>
            <w:tcW w:w="1080" w:type="dxa"/>
            <w:tcBorders>
              <w:top w:val="nil"/>
              <w:left w:val="nil"/>
              <w:bottom w:val="nil"/>
              <w:right w:val="nil"/>
            </w:tcBorders>
            <w:shd w:val="clear" w:color="auto" w:fill="auto"/>
            <w:vAlign w:val="center"/>
            <w:hideMark/>
          </w:tcPr>
          <w:p w14:paraId="60BDA828" w14:textId="77777777" w:rsidR="0089194A" w:rsidRPr="0085125A" w:rsidRDefault="0089194A">
            <w:pPr>
              <w:jc w:val="center"/>
              <w:rPr>
                <w:sz w:val="20"/>
                <w:szCs w:val="20"/>
              </w:rPr>
            </w:pPr>
            <w:r w:rsidRPr="0085125A">
              <w:rPr>
                <w:sz w:val="20"/>
                <w:szCs w:val="20"/>
              </w:rPr>
              <w:t>-0.573*</w:t>
            </w:r>
          </w:p>
        </w:tc>
        <w:tc>
          <w:tcPr>
            <w:tcW w:w="1080" w:type="dxa"/>
            <w:tcBorders>
              <w:top w:val="nil"/>
              <w:left w:val="nil"/>
              <w:bottom w:val="nil"/>
              <w:right w:val="nil"/>
            </w:tcBorders>
            <w:shd w:val="clear" w:color="auto" w:fill="auto"/>
            <w:vAlign w:val="center"/>
            <w:hideMark/>
          </w:tcPr>
          <w:p w14:paraId="66E8F1D4" w14:textId="77777777" w:rsidR="0089194A" w:rsidRPr="0085125A" w:rsidRDefault="0089194A">
            <w:pPr>
              <w:jc w:val="center"/>
              <w:rPr>
                <w:sz w:val="20"/>
                <w:szCs w:val="20"/>
              </w:rPr>
            </w:pPr>
            <w:r w:rsidRPr="0085125A">
              <w:rPr>
                <w:sz w:val="20"/>
                <w:szCs w:val="20"/>
              </w:rPr>
              <w:t>0.000586</w:t>
            </w:r>
          </w:p>
        </w:tc>
      </w:tr>
      <w:tr w:rsidR="0089194A" w:rsidRPr="0085125A" w14:paraId="62C9AF7B"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304A3AFD"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2AC5D4B4" w14:textId="77777777" w:rsidR="0089194A" w:rsidRPr="0085125A" w:rsidRDefault="0089194A">
            <w:pPr>
              <w:jc w:val="center"/>
              <w:rPr>
                <w:sz w:val="20"/>
                <w:szCs w:val="20"/>
              </w:rPr>
            </w:pPr>
            <w:r w:rsidRPr="0085125A">
              <w:rPr>
                <w:sz w:val="20"/>
                <w:szCs w:val="20"/>
              </w:rPr>
              <w:t>-0.00153</w:t>
            </w:r>
          </w:p>
        </w:tc>
        <w:tc>
          <w:tcPr>
            <w:tcW w:w="1099" w:type="dxa"/>
            <w:tcBorders>
              <w:top w:val="nil"/>
              <w:left w:val="nil"/>
              <w:bottom w:val="nil"/>
              <w:right w:val="nil"/>
            </w:tcBorders>
            <w:shd w:val="clear" w:color="auto" w:fill="auto"/>
            <w:vAlign w:val="center"/>
            <w:hideMark/>
          </w:tcPr>
          <w:p w14:paraId="027DBA3D" w14:textId="77777777" w:rsidR="0089194A" w:rsidRPr="0085125A" w:rsidRDefault="0089194A">
            <w:pPr>
              <w:jc w:val="center"/>
              <w:rPr>
                <w:sz w:val="20"/>
                <w:szCs w:val="20"/>
              </w:rPr>
            </w:pPr>
            <w:r w:rsidRPr="0085125A">
              <w:rPr>
                <w:sz w:val="20"/>
                <w:szCs w:val="20"/>
              </w:rPr>
              <w:t>-0.0024</w:t>
            </w:r>
          </w:p>
        </w:tc>
        <w:tc>
          <w:tcPr>
            <w:tcW w:w="1050" w:type="dxa"/>
            <w:tcBorders>
              <w:top w:val="nil"/>
              <w:left w:val="nil"/>
              <w:bottom w:val="nil"/>
              <w:right w:val="nil"/>
            </w:tcBorders>
            <w:shd w:val="clear" w:color="auto" w:fill="auto"/>
            <w:vAlign w:val="center"/>
            <w:hideMark/>
          </w:tcPr>
          <w:p w14:paraId="2C5E5628" w14:textId="77777777" w:rsidR="0089194A" w:rsidRPr="0085125A" w:rsidRDefault="0089194A">
            <w:pPr>
              <w:jc w:val="center"/>
              <w:rPr>
                <w:sz w:val="20"/>
                <w:szCs w:val="20"/>
              </w:rPr>
            </w:pPr>
            <w:r w:rsidRPr="0085125A">
              <w:rPr>
                <w:sz w:val="20"/>
                <w:szCs w:val="20"/>
              </w:rPr>
              <w:t>-0.00226</w:t>
            </w:r>
          </w:p>
        </w:tc>
        <w:tc>
          <w:tcPr>
            <w:tcW w:w="1166" w:type="dxa"/>
            <w:tcBorders>
              <w:top w:val="nil"/>
              <w:left w:val="nil"/>
              <w:bottom w:val="nil"/>
              <w:right w:val="nil"/>
            </w:tcBorders>
            <w:shd w:val="clear" w:color="auto" w:fill="auto"/>
            <w:vAlign w:val="center"/>
            <w:hideMark/>
          </w:tcPr>
          <w:p w14:paraId="3A1C0584" w14:textId="77777777" w:rsidR="0089194A" w:rsidRPr="0085125A" w:rsidRDefault="0089194A">
            <w:pPr>
              <w:jc w:val="center"/>
              <w:rPr>
                <w:sz w:val="20"/>
                <w:szCs w:val="20"/>
              </w:rPr>
            </w:pPr>
            <w:r w:rsidRPr="0085125A">
              <w:rPr>
                <w:sz w:val="20"/>
                <w:szCs w:val="20"/>
              </w:rPr>
              <w:t>-0.000172</w:t>
            </w:r>
          </w:p>
        </w:tc>
        <w:tc>
          <w:tcPr>
            <w:tcW w:w="1114" w:type="dxa"/>
            <w:tcBorders>
              <w:top w:val="nil"/>
              <w:left w:val="nil"/>
              <w:bottom w:val="nil"/>
              <w:right w:val="nil"/>
            </w:tcBorders>
            <w:shd w:val="clear" w:color="auto" w:fill="auto"/>
            <w:vAlign w:val="center"/>
            <w:hideMark/>
          </w:tcPr>
          <w:p w14:paraId="600C6049" w14:textId="77777777" w:rsidR="0089194A" w:rsidRPr="0085125A" w:rsidRDefault="0089194A">
            <w:pPr>
              <w:jc w:val="center"/>
              <w:rPr>
                <w:sz w:val="20"/>
                <w:szCs w:val="20"/>
              </w:rPr>
            </w:pPr>
            <w:r w:rsidRPr="0085125A">
              <w:rPr>
                <w:sz w:val="20"/>
                <w:szCs w:val="20"/>
              </w:rPr>
              <w:t>-0.0398</w:t>
            </w:r>
          </w:p>
        </w:tc>
        <w:tc>
          <w:tcPr>
            <w:tcW w:w="1080" w:type="dxa"/>
            <w:tcBorders>
              <w:top w:val="nil"/>
              <w:left w:val="nil"/>
              <w:bottom w:val="nil"/>
              <w:right w:val="nil"/>
            </w:tcBorders>
            <w:shd w:val="clear" w:color="auto" w:fill="auto"/>
            <w:vAlign w:val="center"/>
            <w:hideMark/>
          </w:tcPr>
          <w:p w14:paraId="55D6A75C" w14:textId="77777777" w:rsidR="0089194A" w:rsidRPr="0085125A" w:rsidRDefault="0089194A">
            <w:pPr>
              <w:jc w:val="center"/>
              <w:rPr>
                <w:sz w:val="20"/>
                <w:szCs w:val="20"/>
              </w:rPr>
            </w:pPr>
            <w:r w:rsidRPr="0085125A">
              <w:rPr>
                <w:sz w:val="20"/>
                <w:szCs w:val="20"/>
              </w:rPr>
              <w:t>-0.311</w:t>
            </w:r>
          </w:p>
        </w:tc>
        <w:tc>
          <w:tcPr>
            <w:tcW w:w="1080" w:type="dxa"/>
            <w:tcBorders>
              <w:top w:val="nil"/>
              <w:left w:val="nil"/>
              <w:bottom w:val="nil"/>
              <w:right w:val="nil"/>
            </w:tcBorders>
            <w:shd w:val="clear" w:color="auto" w:fill="auto"/>
            <w:vAlign w:val="center"/>
            <w:hideMark/>
          </w:tcPr>
          <w:p w14:paraId="26DF6245" w14:textId="77777777" w:rsidR="0089194A" w:rsidRPr="0085125A" w:rsidRDefault="0089194A">
            <w:pPr>
              <w:jc w:val="center"/>
              <w:rPr>
                <w:sz w:val="20"/>
                <w:szCs w:val="20"/>
              </w:rPr>
            </w:pPr>
            <w:r w:rsidRPr="0085125A">
              <w:rPr>
                <w:sz w:val="20"/>
                <w:szCs w:val="20"/>
              </w:rPr>
              <w:t>-0.00332</w:t>
            </w:r>
          </w:p>
        </w:tc>
      </w:tr>
      <w:tr w:rsidR="0089194A" w:rsidRPr="0085125A" w14:paraId="7FEE921C" w14:textId="77777777" w:rsidTr="00B417EC">
        <w:trPr>
          <w:gridAfter w:val="1"/>
          <w:wAfter w:w="90" w:type="dxa"/>
          <w:trHeight w:val="510"/>
        </w:trPr>
        <w:tc>
          <w:tcPr>
            <w:tcW w:w="1339" w:type="dxa"/>
            <w:tcBorders>
              <w:top w:val="nil"/>
              <w:left w:val="nil"/>
              <w:bottom w:val="nil"/>
              <w:right w:val="nil"/>
            </w:tcBorders>
            <w:shd w:val="clear" w:color="auto" w:fill="auto"/>
            <w:vAlign w:val="center"/>
            <w:hideMark/>
          </w:tcPr>
          <w:p w14:paraId="6E5DE749" w14:textId="77777777" w:rsidR="0089194A" w:rsidRPr="0085125A" w:rsidRDefault="0089194A">
            <w:pPr>
              <w:jc w:val="both"/>
              <w:rPr>
                <w:sz w:val="20"/>
                <w:szCs w:val="20"/>
              </w:rPr>
            </w:pPr>
            <w:r w:rsidRPr="0085125A">
              <w:rPr>
                <w:sz w:val="20"/>
                <w:szCs w:val="20"/>
              </w:rPr>
              <w:t>L2D.LFDI</w:t>
            </w:r>
          </w:p>
        </w:tc>
        <w:tc>
          <w:tcPr>
            <w:tcW w:w="1072" w:type="dxa"/>
            <w:tcBorders>
              <w:top w:val="nil"/>
              <w:left w:val="nil"/>
              <w:bottom w:val="nil"/>
              <w:right w:val="nil"/>
            </w:tcBorders>
            <w:shd w:val="clear" w:color="auto" w:fill="auto"/>
            <w:vAlign w:val="center"/>
            <w:hideMark/>
          </w:tcPr>
          <w:p w14:paraId="237EC10D" w14:textId="77777777" w:rsidR="0089194A" w:rsidRPr="0085125A" w:rsidRDefault="0089194A">
            <w:pPr>
              <w:jc w:val="center"/>
              <w:rPr>
                <w:sz w:val="20"/>
                <w:szCs w:val="20"/>
              </w:rPr>
            </w:pPr>
            <w:r w:rsidRPr="0085125A">
              <w:rPr>
                <w:sz w:val="20"/>
                <w:szCs w:val="20"/>
              </w:rPr>
              <w:t>-0.00196*</w:t>
            </w:r>
          </w:p>
        </w:tc>
        <w:tc>
          <w:tcPr>
            <w:tcW w:w="1099" w:type="dxa"/>
            <w:tcBorders>
              <w:top w:val="nil"/>
              <w:left w:val="nil"/>
              <w:bottom w:val="nil"/>
              <w:right w:val="nil"/>
            </w:tcBorders>
            <w:shd w:val="clear" w:color="auto" w:fill="auto"/>
            <w:vAlign w:val="center"/>
            <w:hideMark/>
          </w:tcPr>
          <w:p w14:paraId="50C0C7FE" w14:textId="77777777" w:rsidR="0089194A" w:rsidRPr="0085125A" w:rsidRDefault="0089194A">
            <w:pPr>
              <w:jc w:val="center"/>
              <w:rPr>
                <w:sz w:val="20"/>
                <w:szCs w:val="20"/>
              </w:rPr>
            </w:pPr>
            <w:r w:rsidRPr="0085125A">
              <w:rPr>
                <w:sz w:val="20"/>
                <w:szCs w:val="20"/>
              </w:rPr>
              <w:t>-0.00223</w:t>
            </w:r>
          </w:p>
        </w:tc>
        <w:tc>
          <w:tcPr>
            <w:tcW w:w="1050" w:type="dxa"/>
            <w:tcBorders>
              <w:top w:val="nil"/>
              <w:left w:val="nil"/>
              <w:bottom w:val="nil"/>
              <w:right w:val="nil"/>
            </w:tcBorders>
            <w:shd w:val="clear" w:color="auto" w:fill="auto"/>
            <w:vAlign w:val="center"/>
            <w:hideMark/>
          </w:tcPr>
          <w:p w14:paraId="0EC544ED" w14:textId="77777777" w:rsidR="0089194A" w:rsidRPr="0085125A" w:rsidRDefault="0089194A">
            <w:pPr>
              <w:jc w:val="center"/>
              <w:rPr>
                <w:sz w:val="20"/>
                <w:szCs w:val="20"/>
              </w:rPr>
            </w:pPr>
            <w:r w:rsidRPr="0085125A">
              <w:rPr>
                <w:sz w:val="20"/>
                <w:szCs w:val="20"/>
              </w:rPr>
              <w:t>0.00494***</w:t>
            </w:r>
          </w:p>
        </w:tc>
        <w:tc>
          <w:tcPr>
            <w:tcW w:w="1166" w:type="dxa"/>
            <w:tcBorders>
              <w:top w:val="nil"/>
              <w:left w:val="nil"/>
              <w:bottom w:val="nil"/>
              <w:right w:val="nil"/>
            </w:tcBorders>
            <w:shd w:val="clear" w:color="auto" w:fill="auto"/>
            <w:vAlign w:val="center"/>
            <w:hideMark/>
          </w:tcPr>
          <w:p w14:paraId="40F1EFEB" w14:textId="77777777" w:rsidR="0089194A" w:rsidRPr="0085125A" w:rsidRDefault="0089194A">
            <w:pPr>
              <w:jc w:val="center"/>
              <w:rPr>
                <w:sz w:val="20"/>
                <w:szCs w:val="20"/>
              </w:rPr>
            </w:pPr>
            <w:r w:rsidRPr="0085125A">
              <w:rPr>
                <w:sz w:val="20"/>
                <w:szCs w:val="20"/>
              </w:rPr>
              <w:t>0.000234*</w:t>
            </w:r>
          </w:p>
        </w:tc>
        <w:tc>
          <w:tcPr>
            <w:tcW w:w="1114" w:type="dxa"/>
            <w:tcBorders>
              <w:top w:val="nil"/>
              <w:left w:val="nil"/>
              <w:bottom w:val="nil"/>
              <w:right w:val="nil"/>
            </w:tcBorders>
            <w:shd w:val="clear" w:color="auto" w:fill="auto"/>
            <w:vAlign w:val="center"/>
            <w:hideMark/>
          </w:tcPr>
          <w:p w14:paraId="1C8DF093" w14:textId="77777777" w:rsidR="0089194A" w:rsidRPr="0085125A" w:rsidRDefault="0089194A">
            <w:pPr>
              <w:jc w:val="center"/>
              <w:rPr>
                <w:sz w:val="20"/>
                <w:szCs w:val="20"/>
              </w:rPr>
            </w:pPr>
            <w:r w:rsidRPr="0085125A">
              <w:rPr>
                <w:sz w:val="20"/>
                <w:szCs w:val="20"/>
              </w:rPr>
              <w:t>-0.0183</w:t>
            </w:r>
          </w:p>
        </w:tc>
        <w:tc>
          <w:tcPr>
            <w:tcW w:w="1080" w:type="dxa"/>
            <w:tcBorders>
              <w:top w:val="nil"/>
              <w:left w:val="nil"/>
              <w:bottom w:val="nil"/>
              <w:right w:val="nil"/>
            </w:tcBorders>
            <w:shd w:val="clear" w:color="auto" w:fill="auto"/>
            <w:vAlign w:val="center"/>
            <w:hideMark/>
          </w:tcPr>
          <w:p w14:paraId="0C5307F4" w14:textId="77777777" w:rsidR="0089194A" w:rsidRPr="0085125A" w:rsidRDefault="0089194A">
            <w:pPr>
              <w:jc w:val="center"/>
              <w:rPr>
                <w:sz w:val="20"/>
                <w:szCs w:val="20"/>
              </w:rPr>
            </w:pPr>
            <w:r w:rsidRPr="0085125A">
              <w:rPr>
                <w:sz w:val="20"/>
                <w:szCs w:val="20"/>
              </w:rPr>
              <w:t>-0.562**</w:t>
            </w:r>
          </w:p>
        </w:tc>
        <w:tc>
          <w:tcPr>
            <w:tcW w:w="1080" w:type="dxa"/>
            <w:tcBorders>
              <w:top w:val="nil"/>
              <w:left w:val="nil"/>
              <w:bottom w:val="nil"/>
              <w:right w:val="nil"/>
            </w:tcBorders>
            <w:shd w:val="clear" w:color="auto" w:fill="auto"/>
            <w:vAlign w:val="center"/>
            <w:hideMark/>
          </w:tcPr>
          <w:p w14:paraId="6864D93B" w14:textId="77777777" w:rsidR="0089194A" w:rsidRPr="0085125A" w:rsidRDefault="0089194A">
            <w:pPr>
              <w:jc w:val="center"/>
              <w:rPr>
                <w:sz w:val="20"/>
                <w:szCs w:val="20"/>
              </w:rPr>
            </w:pPr>
            <w:r w:rsidRPr="0085125A">
              <w:rPr>
                <w:sz w:val="20"/>
                <w:szCs w:val="20"/>
              </w:rPr>
              <w:t>0.00199</w:t>
            </w:r>
          </w:p>
        </w:tc>
      </w:tr>
      <w:tr w:rsidR="0089194A" w:rsidRPr="0085125A" w14:paraId="39F4AB08"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7E6828AA"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7CED028E" w14:textId="77777777" w:rsidR="0089194A" w:rsidRPr="0085125A" w:rsidRDefault="0089194A">
            <w:pPr>
              <w:jc w:val="center"/>
              <w:rPr>
                <w:sz w:val="20"/>
                <w:szCs w:val="20"/>
              </w:rPr>
            </w:pPr>
            <w:r w:rsidRPr="0085125A">
              <w:rPr>
                <w:sz w:val="20"/>
                <w:szCs w:val="20"/>
              </w:rPr>
              <w:t>-0.00112</w:t>
            </w:r>
          </w:p>
        </w:tc>
        <w:tc>
          <w:tcPr>
            <w:tcW w:w="1099" w:type="dxa"/>
            <w:tcBorders>
              <w:top w:val="nil"/>
              <w:left w:val="nil"/>
              <w:bottom w:val="nil"/>
              <w:right w:val="nil"/>
            </w:tcBorders>
            <w:shd w:val="clear" w:color="auto" w:fill="auto"/>
            <w:vAlign w:val="center"/>
            <w:hideMark/>
          </w:tcPr>
          <w:p w14:paraId="2B880B15" w14:textId="77777777" w:rsidR="0089194A" w:rsidRPr="0085125A" w:rsidRDefault="0089194A">
            <w:pPr>
              <w:jc w:val="center"/>
              <w:rPr>
                <w:sz w:val="20"/>
                <w:szCs w:val="20"/>
              </w:rPr>
            </w:pPr>
            <w:r w:rsidRPr="0085125A">
              <w:rPr>
                <w:sz w:val="20"/>
                <w:szCs w:val="20"/>
              </w:rPr>
              <w:t>-0.00176</w:t>
            </w:r>
          </w:p>
        </w:tc>
        <w:tc>
          <w:tcPr>
            <w:tcW w:w="1050" w:type="dxa"/>
            <w:tcBorders>
              <w:top w:val="nil"/>
              <w:left w:val="nil"/>
              <w:bottom w:val="nil"/>
              <w:right w:val="nil"/>
            </w:tcBorders>
            <w:shd w:val="clear" w:color="auto" w:fill="auto"/>
            <w:vAlign w:val="center"/>
            <w:hideMark/>
          </w:tcPr>
          <w:p w14:paraId="1D1DE418" w14:textId="77777777" w:rsidR="0089194A" w:rsidRPr="0085125A" w:rsidRDefault="0089194A">
            <w:pPr>
              <w:jc w:val="center"/>
              <w:rPr>
                <w:sz w:val="20"/>
                <w:szCs w:val="20"/>
              </w:rPr>
            </w:pPr>
            <w:r w:rsidRPr="0085125A">
              <w:rPr>
                <w:sz w:val="20"/>
                <w:szCs w:val="20"/>
              </w:rPr>
              <w:t>-0.00166</w:t>
            </w:r>
          </w:p>
        </w:tc>
        <w:tc>
          <w:tcPr>
            <w:tcW w:w="1166" w:type="dxa"/>
            <w:tcBorders>
              <w:top w:val="nil"/>
              <w:left w:val="nil"/>
              <w:bottom w:val="nil"/>
              <w:right w:val="nil"/>
            </w:tcBorders>
            <w:shd w:val="clear" w:color="auto" w:fill="auto"/>
            <w:vAlign w:val="center"/>
            <w:hideMark/>
          </w:tcPr>
          <w:p w14:paraId="1EC440CA" w14:textId="77777777" w:rsidR="0089194A" w:rsidRPr="0085125A" w:rsidRDefault="0089194A">
            <w:pPr>
              <w:jc w:val="center"/>
              <w:rPr>
                <w:sz w:val="20"/>
                <w:szCs w:val="20"/>
              </w:rPr>
            </w:pPr>
            <w:r w:rsidRPr="0085125A">
              <w:rPr>
                <w:sz w:val="20"/>
                <w:szCs w:val="20"/>
              </w:rPr>
              <w:t>-0.000126</w:t>
            </w:r>
          </w:p>
        </w:tc>
        <w:tc>
          <w:tcPr>
            <w:tcW w:w="1114" w:type="dxa"/>
            <w:tcBorders>
              <w:top w:val="nil"/>
              <w:left w:val="nil"/>
              <w:bottom w:val="nil"/>
              <w:right w:val="nil"/>
            </w:tcBorders>
            <w:shd w:val="clear" w:color="auto" w:fill="auto"/>
            <w:vAlign w:val="center"/>
            <w:hideMark/>
          </w:tcPr>
          <w:p w14:paraId="69F65794" w14:textId="77777777" w:rsidR="0089194A" w:rsidRPr="0085125A" w:rsidRDefault="0089194A">
            <w:pPr>
              <w:jc w:val="center"/>
              <w:rPr>
                <w:sz w:val="20"/>
                <w:szCs w:val="20"/>
              </w:rPr>
            </w:pPr>
            <w:r w:rsidRPr="0085125A">
              <w:rPr>
                <w:sz w:val="20"/>
                <w:szCs w:val="20"/>
              </w:rPr>
              <w:t>-0.0291</w:t>
            </w:r>
          </w:p>
        </w:tc>
        <w:tc>
          <w:tcPr>
            <w:tcW w:w="1080" w:type="dxa"/>
            <w:tcBorders>
              <w:top w:val="nil"/>
              <w:left w:val="nil"/>
              <w:bottom w:val="nil"/>
              <w:right w:val="nil"/>
            </w:tcBorders>
            <w:shd w:val="clear" w:color="auto" w:fill="auto"/>
            <w:vAlign w:val="center"/>
            <w:hideMark/>
          </w:tcPr>
          <w:p w14:paraId="2A8AAC92" w14:textId="77777777" w:rsidR="0089194A" w:rsidRPr="0085125A" w:rsidRDefault="0089194A">
            <w:pPr>
              <w:jc w:val="center"/>
              <w:rPr>
                <w:sz w:val="20"/>
                <w:szCs w:val="20"/>
              </w:rPr>
            </w:pPr>
            <w:r w:rsidRPr="0085125A">
              <w:rPr>
                <w:sz w:val="20"/>
                <w:szCs w:val="20"/>
              </w:rPr>
              <w:t>-0.228</w:t>
            </w:r>
          </w:p>
        </w:tc>
        <w:tc>
          <w:tcPr>
            <w:tcW w:w="1080" w:type="dxa"/>
            <w:tcBorders>
              <w:top w:val="nil"/>
              <w:left w:val="nil"/>
              <w:bottom w:val="nil"/>
              <w:right w:val="nil"/>
            </w:tcBorders>
            <w:shd w:val="clear" w:color="auto" w:fill="auto"/>
            <w:vAlign w:val="center"/>
            <w:hideMark/>
          </w:tcPr>
          <w:p w14:paraId="250B34C8" w14:textId="77777777" w:rsidR="0089194A" w:rsidRPr="0085125A" w:rsidRDefault="0089194A">
            <w:pPr>
              <w:jc w:val="center"/>
              <w:rPr>
                <w:sz w:val="20"/>
                <w:szCs w:val="20"/>
              </w:rPr>
            </w:pPr>
            <w:r w:rsidRPr="0085125A">
              <w:rPr>
                <w:sz w:val="20"/>
                <w:szCs w:val="20"/>
              </w:rPr>
              <w:t>-0.00243</w:t>
            </w:r>
          </w:p>
        </w:tc>
      </w:tr>
      <w:tr w:rsidR="0089194A" w:rsidRPr="0085125A" w14:paraId="564EA3F3" w14:textId="77777777" w:rsidTr="00B417EC">
        <w:trPr>
          <w:gridAfter w:val="1"/>
          <w:wAfter w:w="90" w:type="dxa"/>
          <w:trHeight w:val="510"/>
        </w:trPr>
        <w:tc>
          <w:tcPr>
            <w:tcW w:w="1339" w:type="dxa"/>
            <w:tcBorders>
              <w:top w:val="nil"/>
              <w:left w:val="nil"/>
              <w:bottom w:val="nil"/>
              <w:right w:val="nil"/>
            </w:tcBorders>
            <w:shd w:val="clear" w:color="auto" w:fill="auto"/>
            <w:vAlign w:val="center"/>
            <w:hideMark/>
          </w:tcPr>
          <w:p w14:paraId="7A522B98" w14:textId="77777777" w:rsidR="0089194A" w:rsidRPr="0085125A" w:rsidRDefault="0089194A">
            <w:pPr>
              <w:jc w:val="both"/>
              <w:rPr>
                <w:sz w:val="20"/>
                <w:szCs w:val="20"/>
              </w:rPr>
            </w:pPr>
            <w:r w:rsidRPr="0085125A">
              <w:rPr>
                <w:sz w:val="20"/>
                <w:szCs w:val="20"/>
              </w:rPr>
              <w:t>LD.LUrban</w:t>
            </w:r>
          </w:p>
        </w:tc>
        <w:tc>
          <w:tcPr>
            <w:tcW w:w="1072" w:type="dxa"/>
            <w:tcBorders>
              <w:top w:val="nil"/>
              <w:left w:val="nil"/>
              <w:bottom w:val="nil"/>
              <w:right w:val="nil"/>
            </w:tcBorders>
            <w:shd w:val="clear" w:color="auto" w:fill="auto"/>
            <w:vAlign w:val="center"/>
            <w:hideMark/>
          </w:tcPr>
          <w:p w14:paraId="3D5F5051" w14:textId="77777777" w:rsidR="0089194A" w:rsidRPr="0085125A" w:rsidRDefault="0089194A">
            <w:pPr>
              <w:jc w:val="center"/>
              <w:rPr>
                <w:sz w:val="20"/>
                <w:szCs w:val="20"/>
              </w:rPr>
            </w:pPr>
            <w:r w:rsidRPr="0085125A">
              <w:rPr>
                <w:sz w:val="20"/>
                <w:szCs w:val="20"/>
              </w:rPr>
              <w:t>-0.219</w:t>
            </w:r>
          </w:p>
        </w:tc>
        <w:tc>
          <w:tcPr>
            <w:tcW w:w="1099" w:type="dxa"/>
            <w:tcBorders>
              <w:top w:val="nil"/>
              <w:left w:val="nil"/>
              <w:bottom w:val="nil"/>
              <w:right w:val="nil"/>
            </w:tcBorders>
            <w:shd w:val="clear" w:color="auto" w:fill="auto"/>
            <w:vAlign w:val="center"/>
            <w:hideMark/>
          </w:tcPr>
          <w:p w14:paraId="0C991510" w14:textId="77777777" w:rsidR="0089194A" w:rsidRPr="0085125A" w:rsidRDefault="0089194A">
            <w:pPr>
              <w:jc w:val="center"/>
              <w:rPr>
                <w:sz w:val="20"/>
                <w:szCs w:val="20"/>
              </w:rPr>
            </w:pPr>
            <w:r w:rsidRPr="0085125A">
              <w:rPr>
                <w:sz w:val="20"/>
                <w:szCs w:val="20"/>
              </w:rPr>
              <w:t>-0.29</w:t>
            </w:r>
          </w:p>
        </w:tc>
        <w:tc>
          <w:tcPr>
            <w:tcW w:w="1050" w:type="dxa"/>
            <w:tcBorders>
              <w:top w:val="nil"/>
              <w:left w:val="nil"/>
              <w:bottom w:val="nil"/>
              <w:right w:val="nil"/>
            </w:tcBorders>
            <w:shd w:val="clear" w:color="auto" w:fill="auto"/>
            <w:vAlign w:val="center"/>
            <w:hideMark/>
          </w:tcPr>
          <w:p w14:paraId="67C9ADEC" w14:textId="77777777" w:rsidR="0089194A" w:rsidRPr="0085125A" w:rsidRDefault="0089194A">
            <w:pPr>
              <w:jc w:val="center"/>
              <w:rPr>
                <w:sz w:val="20"/>
                <w:szCs w:val="20"/>
              </w:rPr>
            </w:pPr>
            <w:r w:rsidRPr="0085125A">
              <w:rPr>
                <w:sz w:val="20"/>
                <w:szCs w:val="20"/>
              </w:rPr>
              <w:t>0.592***</w:t>
            </w:r>
          </w:p>
        </w:tc>
        <w:tc>
          <w:tcPr>
            <w:tcW w:w="1166" w:type="dxa"/>
            <w:tcBorders>
              <w:top w:val="nil"/>
              <w:left w:val="nil"/>
              <w:bottom w:val="nil"/>
              <w:right w:val="nil"/>
            </w:tcBorders>
            <w:shd w:val="clear" w:color="auto" w:fill="auto"/>
            <w:vAlign w:val="center"/>
            <w:hideMark/>
          </w:tcPr>
          <w:p w14:paraId="3F222FE5" w14:textId="77777777" w:rsidR="0089194A" w:rsidRPr="0085125A" w:rsidRDefault="0089194A">
            <w:pPr>
              <w:jc w:val="center"/>
              <w:rPr>
                <w:sz w:val="20"/>
                <w:szCs w:val="20"/>
              </w:rPr>
            </w:pPr>
            <w:r w:rsidRPr="0085125A">
              <w:rPr>
                <w:sz w:val="20"/>
                <w:szCs w:val="20"/>
              </w:rPr>
              <w:t>0.0108</w:t>
            </w:r>
          </w:p>
        </w:tc>
        <w:tc>
          <w:tcPr>
            <w:tcW w:w="1114" w:type="dxa"/>
            <w:tcBorders>
              <w:top w:val="nil"/>
              <w:left w:val="nil"/>
              <w:bottom w:val="nil"/>
              <w:right w:val="nil"/>
            </w:tcBorders>
            <w:shd w:val="clear" w:color="auto" w:fill="auto"/>
            <w:vAlign w:val="center"/>
            <w:hideMark/>
          </w:tcPr>
          <w:p w14:paraId="1D943305" w14:textId="77777777" w:rsidR="0089194A" w:rsidRPr="0085125A" w:rsidRDefault="0089194A">
            <w:pPr>
              <w:jc w:val="center"/>
              <w:rPr>
                <w:sz w:val="20"/>
                <w:szCs w:val="20"/>
              </w:rPr>
            </w:pPr>
            <w:r w:rsidRPr="0085125A">
              <w:rPr>
                <w:sz w:val="20"/>
                <w:szCs w:val="20"/>
              </w:rPr>
              <w:t>0.224</w:t>
            </w:r>
          </w:p>
        </w:tc>
        <w:tc>
          <w:tcPr>
            <w:tcW w:w="1080" w:type="dxa"/>
            <w:tcBorders>
              <w:top w:val="nil"/>
              <w:left w:val="nil"/>
              <w:bottom w:val="nil"/>
              <w:right w:val="nil"/>
            </w:tcBorders>
            <w:shd w:val="clear" w:color="auto" w:fill="auto"/>
            <w:vAlign w:val="center"/>
            <w:hideMark/>
          </w:tcPr>
          <w:p w14:paraId="5975FD96" w14:textId="77777777" w:rsidR="0089194A" w:rsidRPr="0085125A" w:rsidRDefault="0089194A">
            <w:pPr>
              <w:jc w:val="center"/>
              <w:rPr>
                <w:sz w:val="20"/>
                <w:szCs w:val="20"/>
              </w:rPr>
            </w:pPr>
            <w:r w:rsidRPr="0085125A">
              <w:rPr>
                <w:sz w:val="20"/>
                <w:szCs w:val="20"/>
              </w:rPr>
              <w:t>-56.69**</w:t>
            </w:r>
          </w:p>
        </w:tc>
        <w:tc>
          <w:tcPr>
            <w:tcW w:w="1080" w:type="dxa"/>
            <w:tcBorders>
              <w:top w:val="nil"/>
              <w:left w:val="nil"/>
              <w:bottom w:val="nil"/>
              <w:right w:val="nil"/>
            </w:tcBorders>
            <w:shd w:val="clear" w:color="auto" w:fill="auto"/>
            <w:vAlign w:val="center"/>
            <w:hideMark/>
          </w:tcPr>
          <w:p w14:paraId="1E8E5B3B" w14:textId="77777777" w:rsidR="0089194A" w:rsidRPr="0085125A" w:rsidRDefault="0089194A">
            <w:pPr>
              <w:jc w:val="center"/>
              <w:rPr>
                <w:sz w:val="20"/>
                <w:szCs w:val="20"/>
              </w:rPr>
            </w:pPr>
            <w:r w:rsidRPr="0085125A">
              <w:rPr>
                <w:sz w:val="20"/>
                <w:szCs w:val="20"/>
              </w:rPr>
              <w:t>0.0944</w:t>
            </w:r>
          </w:p>
        </w:tc>
      </w:tr>
      <w:tr w:rsidR="0089194A" w:rsidRPr="0085125A" w14:paraId="3652B285"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21F47FFD"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3BDED72A" w14:textId="77777777" w:rsidR="0089194A" w:rsidRPr="0085125A" w:rsidRDefault="0089194A">
            <w:pPr>
              <w:jc w:val="center"/>
              <w:rPr>
                <w:sz w:val="20"/>
                <w:szCs w:val="20"/>
              </w:rPr>
            </w:pPr>
            <w:r w:rsidRPr="0085125A">
              <w:rPr>
                <w:sz w:val="20"/>
                <w:szCs w:val="20"/>
              </w:rPr>
              <w:t>-0.137</w:t>
            </w:r>
          </w:p>
        </w:tc>
        <w:tc>
          <w:tcPr>
            <w:tcW w:w="1099" w:type="dxa"/>
            <w:tcBorders>
              <w:top w:val="nil"/>
              <w:left w:val="nil"/>
              <w:bottom w:val="nil"/>
              <w:right w:val="nil"/>
            </w:tcBorders>
            <w:shd w:val="clear" w:color="auto" w:fill="auto"/>
            <w:vAlign w:val="center"/>
            <w:hideMark/>
          </w:tcPr>
          <w:p w14:paraId="6EF14052" w14:textId="77777777" w:rsidR="0089194A" w:rsidRPr="0085125A" w:rsidRDefault="0089194A">
            <w:pPr>
              <w:jc w:val="center"/>
              <w:rPr>
                <w:sz w:val="20"/>
                <w:szCs w:val="20"/>
              </w:rPr>
            </w:pPr>
            <w:r w:rsidRPr="0085125A">
              <w:rPr>
                <w:sz w:val="20"/>
                <w:szCs w:val="20"/>
              </w:rPr>
              <w:t>-0.214</w:t>
            </w:r>
          </w:p>
        </w:tc>
        <w:tc>
          <w:tcPr>
            <w:tcW w:w="1050" w:type="dxa"/>
            <w:tcBorders>
              <w:top w:val="nil"/>
              <w:left w:val="nil"/>
              <w:bottom w:val="nil"/>
              <w:right w:val="nil"/>
            </w:tcBorders>
            <w:shd w:val="clear" w:color="auto" w:fill="auto"/>
            <w:vAlign w:val="center"/>
            <w:hideMark/>
          </w:tcPr>
          <w:p w14:paraId="383D705E" w14:textId="77777777" w:rsidR="0089194A" w:rsidRPr="0085125A" w:rsidRDefault="0089194A">
            <w:pPr>
              <w:jc w:val="center"/>
              <w:rPr>
                <w:sz w:val="20"/>
                <w:szCs w:val="20"/>
              </w:rPr>
            </w:pPr>
            <w:r w:rsidRPr="0085125A">
              <w:rPr>
                <w:sz w:val="20"/>
                <w:szCs w:val="20"/>
              </w:rPr>
              <w:t>-0.203</w:t>
            </w:r>
          </w:p>
        </w:tc>
        <w:tc>
          <w:tcPr>
            <w:tcW w:w="1166" w:type="dxa"/>
            <w:tcBorders>
              <w:top w:val="nil"/>
              <w:left w:val="nil"/>
              <w:bottom w:val="nil"/>
              <w:right w:val="nil"/>
            </w:tcBorders>
            <w:shd w:val="clear" w:color="auto" w:fill="auto"/>
            <w:vAlign w:val="center"/>
            <w:hideMark/>
          </w:tcPr>
          <w:p w14:paraId="280C9340" w14:textId="77777777" w:rsidR="0089194A" w:rsidRPr="0085125A" w:rsidRDefault="0089194A">
            <w:pPr>
              <w:jc w:val="center"/>
              <w:rPr>
                <w:sz w:val="20"/>
                <w:szCs w:val="20"/>
              </w:rPr>
            </w:pPr>
            <w:r w:rsidRPr="0085125A">
              <w:rPr>
                <w:sz w:val="20"/>
                <w:szCs w:val="20"/>
              </w:rPr>
              <w:t>-0.0154</w:t>
            </w:r>
          </w:p>
        </w:tc>
        <w:tc>
          <w:tcPr>
            <w:tcW w:w="1114" w:type="dxa"/>
            <w:tcBorders>
              <w:top w:val="nil"/>
              <w:left w:val="nil"/>
              <w:bottom w:val="nil"/>
              <w:right w:val="nil"/>
            </w:tcBorders>
            <w:shd w:val="clear" w:color="auto" w:fill="auto"/>
            <w:vAlign w:val="center"/>
            <w:hideMark/>
          </w:tcPr>
          <w:p w14:paraId="0579D492" w14:textId="77777777" w:rsidR="0089194A" w:rsidRPr="0085125A" w:rsidRDefault="0089194A">
            <w:pPr>
              <w:jc w:val="center"/>
              <w:rPr>
                <w:sz w:val="20"/>
                <w:szCs w:val="20"/>
              </w:rPr>
            </w:pPr>
            <w:r w:rsidRPr="0085125A">
              <w:rPr>
                <w:sz w:val="20"/>
                <w:szCs w:val="20"/>
              </w:rPr>
              <w:t>-3.56</w:t>
            </w:r>
          </w:p>
        </w:tc>
        <w:tc>
          <w:tcPr>
            <w:tcW w:w="1080" w:type="dxa"/>
            <w:tcBorders>
              <w:top w:val="nil"/>
              <w:left w:val="nil"/>
              <w:bottom w:val="nil"/>
              <w:right w:val="nil"/>
            </w:tcBorders>
            <w:shd w:val="clear" w:color="auto" w:fill="auto"/>
            <w:vAlign w:val="center"/>
            <w:hideMark/>
          </w:tcPr>
          <w:p w14:paraId="2DDCA21B" w14:textId="77777777" w:rsidR="0089194A" w:rsidRPr="0085125A" w:rsidRDefault="0089194A">
            <w:pPr>
              <w:jc w:val="center"/>
              <w:rPr>
                <w:sz w:val="20"/>
                <w:szCs w:val="20"/>
              </w:rPr>
            </w:pPr>
            <w:r w:rsidRPr="0085125A">
              <w:rPr>
                <w:sz w:val="20"/>
                <w:szCs w:val="20"/>
              </w:rPr>
              <w:t>-27.81</w:t>
            </w:r>
          </w:p>
        </w:tc>
        <w:tc>
          <w:tcPr>
            <w:tcW w:w="1080" w:type="dxa"/>
            <w:tcBorders>
              <w:top w:val="nil"/>
              <w:left w:val="nil"/>
              <w:bottom w:val="nil"/>
              <w:right w:val="nil"/>
            </w:tcBorders>
            <w:shd w:val="clear" w:color="auto" w:fill="auto"/>
            <w:vAlign w:val="center"/>
            <w:hideMark/>
          </w:tcPr>
          <w:p w14:paraId="0443C113" w14:textId="77777777" w:rsidR="0089194A" w:rsidRPr="0085125A" w:rsidRDefault="0089194A">
            <w:pPr>
              <w:jc w:val="center"/>
              <w:rPr>
                <w:sz w:val="20"/>
                <w:szCs w:val="20"/>
              </w:rPr>
            </w:pPr>
            <w:r w:rsidRPr="0085125A">
              <w:rPr>
                <w:sz w:val="20"/>
                <w:szCs w:val="20"/>
              </w:rPr>
              <w:t>-0.297</w:t>
            </w:r>
          </w:p>
        </w:tc>
      </w:tr>
      <w:tr w:rsidR="0089194A" w:rsidRPr="0085125A" w14:paraId="48B7130A" w14:textId="77777777" w:rsidTr="00B417EC">
        <w:trPr>
          <w:gridAfter w:val="1"/>
          <w:wAfter w:w="90" w:type="dxa"/>
          <w:trHeight w:val="510"/>
        </w:trPr>
        <w:tc>
          <w:tcPr>
            <w:tcW w:w="1339" w:type="dxa"/>
            <w:tcBorders>
              <w:top w:val="nil"/>
              <w:left w:val="nil"/>
              <w:bottom w:val="nil"/>
              <w:right w:val="nil"/>
            </w:tcBorders>
            <w:shd w:val="clear" w:color="auto" w:fill="auto"/>
            <w:vAlign w:val="center"/>
            <w:hideMark/>
          </w:tcPr>
          <w:p w14:paraId="1D977023" w14:textId="77777777" w:rsidR="0089194A" w:rsidRPr="0085125A" w:rsidRDefault="0089194A">
            <w:pPr>
              <w:jc w:val="both"/>
              <w:rPr>
                <w:sz w:val="20"/>
                <w:szCs w:val="20"/>
              </w:rPr>
            </w:pPr>
            <w:r w:rsidRPr="0085125A">
              <w:rPr>
                <w:sz w:val="20"/>
                <w:szCs w:val="20"/>
              </w:rPr>
              <w:t>L2D.LUrban</w:t>
            </w:r>
          </w:p>
        </w:tc>
        <w:tc>
          <w:tcPr>
            <w:tcW w:w="1072" w:type="dxa"/>
            <w:tcBorders>
              <w:top w:val="nil"/>
              <w:left w:val="nil"/>
              <w:bottom w:val="nil"/>
              <w:right w:val="nil"/>
            </w:tcBorders>
            <w:shd w:val="clear" w:color="auto" w:fill="auto"/>
            <w:vAlign w:val="center"/>
            <w:hideMark/>
          </w:tcPr>
          <w:p w14:paraId="55B59DB2" w14:textId="77777777" w:rsidR="0089194A" w:rsidRPr="0085125A" w:rsidRDefault="0089194A">
            <w:pPr>
              <w:jc w:val="center"/>
              <w:rPr>
                <w:sz w:val="20"/>
                <w:szCs w:val="20"/>
              </w:rPr>
            </w:pPr>
            <w:r w:rsidRPr="0085125A">
              <w:rPr>
                <w:sz w:val="20"/>
                <w:szCs w:val="20"/>
              </w:rPr>
              <w:t>0.0181</w:t>
            </w:r>
          </w:p>
        </w:tc>
        <w:tc>
          <w:tcPr>
            <w:tcW w:w="1099" w:type="dxa"/>
            <w:tcBorders>
              <w:top w:val="nil"/>
              <w:left w:val="nil"/>
              <w:bottom w:val="nil"/>
              <w:right w:val="nil"/>
            </w:tcBorders>
            <w:shd w:val="clear" w:color="auto" w:fill="auto"/>
            <w:vAlign w:val="center"/>
            <w:hideMark/>
          </w:tcPr>
          <w:p w14:paraId="336F8B3C" w14:textId="77777777" w:rsidR="0089194A" w:rsidRPr="0085125A" w:rsidRDefault="0089194A">
            <w:pPr>
              <w:jc w:val="center"/>
              <w:rPr>
                <w:sz w:val="20"/>
                <w:szCs w:val="20"/>
              </w:rPr>
            </w:pPr>
            <w:r w:rsidRPr="0085125A">
              <w:rPr>
                <w:sz w:val="20"/>
                <w:szCs w:val="20"/>
              </w:rPr>
              <w:t>-0.328</w:t>
            </w:r>
          </w:p>
        </w:tc>
        <w:tc>
          <w:tcPr>
            <w:tcW w:w="1050" w:type="dxa"/>
            <w:tcBorders>
              <w:top w:val="nil"/>
              <w:left w:val="nil"/>
              <w:bottom w:val="nil"/>
              <w:right w:val="nil"/>
            </w:tcBorders>
            <w:shd w:val="clear" w:color="auto" w:fill="auto"/>
            <w:vAlign w:val="center"/>
            <w:hideMark/>
          </w:tcPr>
          <w:p w14:paraId="593D40E8" w14:textId="77777777" w:rsidR="0089194A" w:rsidRPr="0085125A" w:rsidRDefault="0089194A">
            <w:pPr>
              <w:jc w:val="center"/>
              <w:rPr>
                <w:sz w:val="20"/>
                <w:szCs w:val="20"/>
              </w:rPr>
            </w:pPr>
            <w:r w:rsidRPr="0085125A">
              <w:rPr>
                <w:sz w:val="20"/>
                <w:szCs w:val="20"/>
              </w:rPr>
              <w:t>0.0431</w:t>
            </w:r>
          </w:p>
        </w:tc>
        <w:tc>
          <w:tcPr>
            <w:tcW w:w="1166" w:type="dxa"/>
            <w:tcBorders>
              <w:top w:val="nil"/>
              <w:left w:val="nil"/>
              <w:bottom w:val="nil"/>
              <w:right w:val="nil"/>
            </w:tcBorders>
            <w:shd w:val="clear" w:color="auto" w:fill="auto"/>
            <w:vAlign w:val="center"/>
            <w:hideMark/>
          </w:tcPr>
          <w:p w14:paraId="1DEFE265" w14:textId="77777777" w:rsidR="0089194A" w:rsidRPr="0085125A" w:rsidRDefault="0089194A">
            <w:pPr>
              <w:jc w:val="center"/>
              <w:rPr>
                <w:sz w:val="20"/>
                <w:szCs w:val="20"/>
              </w:rPr>
            </w:pPr>
            <w:r w:rsidRPr="0085125A">
              <w:rPr>
                <w:sz w:val="20"/>
                <w:szCs w:val="20"/>
              </w:rPr>
              <w:t>0.0309*</w:t>
            </w:r>
          </w:p>
        </w:tc>
        <w:tc>
          <w:tcPr>
            <w:tcW w:w="1114" w:type="dxa"/>
            <w:tcBorders>
              <w:top w:val="nil"/>
              <w:left w:val="nil"/>
              <w:bottom w:val="nil"/>
              <w:right w:val="nil"/>
            </w:tcBorders>
            <w:shd w:val="clear" w:color="auto" w:fill="auto"/>
            <w:vAlign w:val="center"/>
            <w:hideMark/>
          </w:tcPr>
          <w:p w14:paraId="16CCF591" w14:textId="77777777" w:rsidR="0089194A" w:rsidRPr="0085125A" w:rsidRDefault="0089194A">
            <w:pPr>
              <w:jc w:val="center"/>
              <w:rPr>
                <w:sz w:val="20"/>
                <w:szCs w:val="20"/>
              </w:rPr>
            </w:pPr>
            <w:r w:rsidRPr="0085125A">
              <w:rPr>
                <w:sz w:val="20"/>
                <w:szCs w:val="20"/>
              </w:rPr>
              <w:t>-3.946</w:t>
            </w:r>
          </w:p>
        </w:tc>
        <w:tc>
          <w:tcPr>
            <w:tcW w:w="1080" w:type="dxa"/>
            <w:tcBorders>
              <w:top w:val="nil"/>
              <w:left w:val="nil"/>
              <w:bottom w:val="nil"/>
              <w:right w:val="nil"/>
            </w:tcBorders>
            <w:shd w:val="clear" w:color="auto" w:fill="auto"/>
            <w:vAlign w:val="center"/>
            <w:hideMark/>
          </w:tcPr>
          <w:p w14:paraId="4FF569FB" w14:textId="77777777" w:rsidR="0089194A" w:rsidRPr="0085125A" w:rsidRDefault="0089194A">
            <w:pPr>
              <w:jc w:val="center"/>
              <w:rPr>
                <w:sz w:val="20"/>
                <w:szCs w:val="20"/>
              </w:rPr>
            </w:pPr>
            <w:r w:rsidRPr="0085125A">
              <w:rPr>
                <w:sz w:val="20"/>
                <w:szCs w:val="20"/>
              </w:rPr>
              <w:t>-16.39</w:t>
            </w:r>
          </w:p>
        </w:tc>
        <w:tc>
          <w:tcPr>
            <w:tcW w:w="1080" w:type="dxa"/>
            <w:tcBorders>
              <w:top w:val="nil"/>
              <w:left w:val="nil"/>
              <w:bottom w:val="nil"/>
              <w:right w:val="nil"/>
            </w:tcBorders>
            <w:shd w:val="clear" w:color="auto" w:fill="auto"/>
            <w:vAlign w:val="center"/>
            <w:hideMark/>
          </w:tcPr>
          <w:p w14:paraId="14EFA5C4" w14:textId="77777777" w:rsidR="0089194A" w:rsidRPr="0085125A" w:rsidRDefault="0089194A">
            <w:pPr>
              <w:jc w:val="center"/>
              <w:rPr>
                <w:sz w:val="20"/>
                <w:szCs w:val="20"/>
              </w:rPr>
            </w:pPr>
            <w:r w:rsidRPr="0085125A">
              <w:rPr>
                <w:sz w:val="20"/>
                <w:szCs w:val="20"/>
              </w:rPr>
              <w:t>0.367</w:t>
            </w:r>
          </w:p>
        </w:tc>
      </w:tr>
      <w:tr w:rsidR="0089194A" w:rsidRPr="0085125A" w14:paraId="020D7102"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3262415F"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7E72B213" w14:textId="77777777" w:rsidR="0089194A" w:rsidRPr="0085125A" w:rsidRDefault="0089194A">
            <w:pPr>
              <w:jc w:val="center"/>
              <w:rPr>
                <w:sz w:val="20"/>
                <w:szCs w:val="20"/>
              </w:rPr>
            </w:pPr>
            <w:r w:rsidRPr="0085125A">
              <w:rPr>
                <w:sz w:val="20"/>
                <w:szCs w:val="20"/>
              </w:rPr>
              <w:t>-0.148</w:t>
            </w:r>
          </w:p>
        </w:tc>
        <w:tc>
          <w:tcPr>
            <w:tcW w:w="1099" w:type="dxa"/>
            <w:tcBorders>
              <w:top w:val="nil"/>
              <w:left w:val="nil"/>
              <w:bottom w:val="nil"/>
              <w:right w:val="nil"/>
            </w:tcBorders>
            <w:shd w:val="clear" w:color="auto" w:fill="auto"/>
            <w:vAlign w:val="center"/>
            <w:hideMark/>
          </w:tcPr>
          <w:p w14:paraId="11267792" w14:textId="77777777" w:rsidR="0089194A" w:rsidRPr="0085125A" w:rsidRDefault="0089194A">
            <w:pPr>
              <w:jc w:val="center"/>
              <w:rPr>
                <w:sz w:val="20"/>
                <w:szCs w:val="20"/>
              </w:rPr>
            </w:pPr>
            <w:r w:rsidRPr="0085125A">
              <w:rPr>
                <w:sz w:val="20"/>
                <w:szCs w:val="20"/>
              </w:rPr>
              <w:t>-0.232</w:t>
            </w:r>
          </w:p>
        </w:tc>
        <w:tc>
          <w:tcPr>
            <w:tcW w:w="1050" w:type="dxa"/>
            <w:tcBorders>
              <w:top w:val="nil"/>
              <w:left w:val="nil"/>
              <w:bottom w:val="nil"/>
              <w:right w:val="nil"/>
            </w:tcBorders>
            <w:shd w:val="clear" w:color="auto" w:fill="auto"/>
            <w:vAlign w:val="center"/>
            <w:hideMark/>
          </w:tcPr>
          <w:p w14:paraId="0BC5C87A" w14:textId="77777777" w:rsidR="0089194A" w:rsidRPr="0085125A" w:rsidRDefault="0089194A">
            <w:pPr>
              <w:jc w:val="center"/>
              <w:rPr>
                <w:sz w:val="20"/>
                <w:szCs w:val="20"/>
              </w:rPr>
            </w:pPr>
            <w:r w:rsidRPr="0085125A">
              <w:rPr>
                <w:sz w:val="20"/>
                <w:szCs w:val="20"/>
              </w:rPr>
              <w:t>-0.219</w:t>
            </w:r>
          </w:p>
        </w:tc>
        <w:tc>
          <w:tcPr>
            <w:tcW w:w="1166" w:type="dxa"/>
            <w:tcBorders>
              <w:top w:val="nil"/>
              <w:left w:val="nil"/>
              <w:bottom w:val="nil"/>
              <w:right w:val="nil"/>
            </w:tcBorders>
            <w:shd w:val="clear" w:color="auto" w:fill="auto"/>
            <w:vAlign w:val="center"/>
            <w:hideMark/>
          </w:tcPr>
          <w:p w14:paraId="3DA898C8" w14:textId="77777777" w:rsidR="0089194A" w:rsidRPr="0085125A" w:rsidRDefault="0089194A">
            <w:pPr>
              <w:jc w:val="center"/>
              <w:rPr>
                <w:sz w:val="20"/>
                <w:szCs w:val="20"/>
              </w:rPr>
            </w:pPr>
            <w:r w:rsidRPr="0085125A">
              <w:rPr>
                <w:sz w:val="20"/>
                <w:szCs w:val="20"/>
              </w:rPr>
              <w:t>-0.0166</w:t>
            </w:r>
          </w:p>
        </w:tc>
        <w:tc>
          <w:tcPr>
            <w:tcW w:w="1114" w:type="dxa"/>
            <w:tcBorders>
              <w:top w:val="nil"/>
              <w:left w:val="nil"/>
              <w:bottom w:val="nil"/>
              <w:right w:val="nil"/>
            </w:tcBorders>
            <w:shd w:val="clear" w:color="auto" w:fill="auto"/>
            <w:vAlign w:val="center"/>
            <w:hideMark/>
          </w:tcPr>
          <w:p w14:paraId="07FA0DCC" w14:textId="77777777" w:rsidR="0089194A" w:rsidRPr="0085125A" w:rsidRDefault="0089194A">
            <w:pPr>
              <w:jc w:val="center"/>
              <w:rPr>
                <w:sz w:val="20"/>
                <w:szCs w:val="20"/>
              </w:rPr>
            </w:pPr>
            <w:r w:rsidRPr="0085125A">
              <w:rPr>
                <w:sz w:val="20"/>
                <w:szCs w:val="20"/>
              </w:rPr>
              <w:t>-3.844</w:t>
            </w:r>
          </w:p>
        </w:tc>
        <w:tc>
          <w:tcPr>
            <w:tcW w:w="1080" w:type="dxa"/>
            <w:tcBorders>
              <w:top w:val="nil"/>
              <w:left w:val="nil"/>
              <w:bottom w:val="nil"/>
              <w:right w:val="nil"/>
            </w:tcBorders>
            <w:shd w:val="clear" w:color="auto" w:fill="auto"/>
            <w:vAlign w:val="center"/>
            <w:hideMark/>
          </w:tcPr>
          <w:p w14:paraId="1EEFF61F" w14:textId="77777777" w:rsidR="0089194A" w:rsidRPr="0085125A" w:rsidRDefault="0089194A">
            <w:pPr>
              <w:jc w:val="center"/>
              <w:rPr>
                <w:sz w:val="20"/>
                <w:szCs w:val="20"/>
              </w:rPr>
            </w:pPr>
            <w:r w:rsidRPr="0085125A">
              <w:rPr>
                <w:sz w:val="20"/>
                <w:szCs w:val="20"/>
              </w:rPr>
              <w:t>-30.03</w:t>
            </w:r>
          </w:p>
        </w:tc>
        <w:tc>
          <w:tcPr>
            <w:tcW w:w="1080" w:type="dxa"/>
            <w:tcBorders>
              <w:top w:val="nil"/>
              <w:left w:val="nil"/>
              <w:bottom w:val="nil"/>
              <w:right w:val="nil"/>
            </w:tcBorders>
            <w:shd w:val="clear" w:color="auto" w:fill="auto"/>
            <w:vAlign w:val="center"/>
            <w:hideMark/>
          </w:tcPr>
          <w:p w14:paraId="76C1C0C6" w14:textId="77777777" w:rsidR="0089194A" w:rsidRPr="0085125A" w:rsidRDefault="0089194A">
            <w:pPr>
              <w:jc w:val="center"/>
              <w:rPr>
                <w:sz w:val="20"/>
                <w:szCs w:val="20"/>
              </w:rPr>
            </w:pPr>
            <w:r w:rsidRPr="0085125A">
              <w:rPr>
                <w:sz w:val="20"/>
                <w:szCs w:val="20"/>
              </w:rPr>
              <w:t>-0.321</w:t>
            </w:r>
          </w:p>
        </w:tc>
      </w:tr>
      <w:tr w:rsidR="0089194A" w:rsidRPr="0085125A" w14:paraId="332882F8"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58B4FD9E" w14:textId="77777777" w:rsidR="0089194A" w:rsidRPr="0085125A" w:rsidRDefault="0089194A">
            <w:pPr>
              <w:jc w:val="both"/>
              <w:rPr>
                <w:sz w:val="20"/>
                <w:szCs w:val="20"/>
              </w:rPr>
            </w:pPr>
            <w:r w:rsidRPr="0085125A">
              <w:rPr>
                <w:sz w:val="20"/>
                <w:szCs w:val="20"/>
              </w:rPr>
              <w:t>Constant</w:t>
            </w:r>
          </w:p>
        </w:tc>
        <w:tc>
          <w:tcPr>
            <w:tcW w:w="1072" w:type="dxa"/>
            <w:tcBorders>
              <w:top w:val="nil"/>
              <w:left w:val="nil"/>
              <w:bottom w:val="nil"/>
              <w:right w:val="nil"/>
            </w:tcBorders>
            <w:shd w:val="clear" w:color="auto" w:fill="auto"/>
            <w:vAlign w:val="center"/>
            <w:hideMark/>
          </w:tcPr>
          <w:p w14:paraId="32727077" w14:textId="77777777" w:rsidR="0089194A" w:rsidRPr="0085125A" w:rsidRDefault="0089194A">
            <w:pPr>
              <w:jc w:val="center"/>
              <w:rPr>
                <w:sz w:val="20"/>
                <w:szCs w:val="20"/>
              </w:rPr>
            </w:pPr>
            <w:r w:rsidRPr="0085125A">
              <w:rPr>
                <w:sz w:val="20"/>
                <w:szCs w:val="20"/>
              </w:rPr>
              <w:t>0.0462</w:t>
            </w:r>
          </w:p>
        </w:tc>
        <w:tc>
          <w:tcPr>
            <w:tcW w:w="1099" w:type="dxa"/>
            <w:tcBorders>
              <w:top w:val="nil"/>
              <w:left w:val="nil"/>
              <w:bottom w:val="nil"/>
              <w:right w:val="nil"/>
            </w:tcBorders>
            <w:shd w:val="clear" w:color="auto" w:fill="auto"/>
            <w:vAlign w:val="center"/>
            <w:hideMark/>
          </w:tcPr>
          <w:p w14:paraId="6B515C72" w14:textId="77777777" w:rsidR="0089194A" w:rsidRPr="0085125A" w:rsidRDefault="0089194A">
            <w:pPr>
              <w:jc w:val="center"/>
              <w:rPr>
                <w:sz w:val="20"/>
                <w:szCs w:val="20"/>
              </w:rPr>
            </w:pPr>
            <w:r w:rsidRPr="0085125A">
              <w:rPr>
                <w:sz w:val="20"/>
                <w:szCs w:val="20"/>
              </w:rPr>
              <w:t>0.0206</w:t>
            </w:r>
          </w:p>
        </w:tc>
        <w:tc>
          <w:tcPr>
            <w:tcW w:w="1050" w:type="dxa"/>
            <w:tcBorders>
              <w:top w:val="nil"/>
              <w:left w:val="nil"/>
              <w:bottom w:val="nil"/>
              <w:right w:val="nil"/>
            </w:tcBorders>
            <w:shd w:val="clear" w:color="auto" w:fill="auto"/>
            <w:vAlign w:val="center"/>
            <w:hideMark/>
          </w:tcPr>
          <w:p w14:paraId="2B546BBD" w14:textId="77777777" w:rsidR="0089194A" w:rsidRPr="0085125A" w:rsidRDefault="0089194A">
            <w:pPr>
              <w:jc w:val="center"/>
              <w:rPr>
                <w:sz w:val="20"/>
                <w:szCs w:val="20"/>
              </w:rPr>
            </w:pPr>
            <w:r w:rsidRPr="0085125A">
              <w:rPr>
                <w:sz w:val="20"/>
                <w:szCs w:val="20"/>
              </w:rPr>
              <w:t>0.247***</w:t>
            </w:r>
          </w:p>
        </w:tc>
        <w:tc>
          <w:tcPr>
            <w:tcW w:w="1166" w:type="dxa"/>
            <w:tcBorders>
              <w:top w:val="nil"/>
              <w:left w:val="nil"/>
              <w:bottom w:val="nil"/>
              <w:right w:val="nil"/>
            </w:tcBorders>
            <w:shd w:val="clear" w:color="auto" w:fill="auto"/>
            <w:vAlign w:val="center"/>
            <w:hideMark/>
          </w:tcPr>
          <w:p w14:paraId="60B601E8" w14:textId="77777777" w:rsidR="0089194A" w:rsidRPr="0085125A" w:rsidRDefault="0089194A">
            <w:pPr>
              <w:jc w:val="center"/>
              <w:rPr>
                <w:sz w:val="20"/>
                <w:szCs w:val="20"/>
              </w:rPr>
            </w:pPr>
            <w:r w:rsidRPr="0085125A">
              <w:rPr>
                <w:sz w:val="20"/>
                <w:szCs w:val="20"/>
              </w:rPr>
              <w:t>0.00860**</w:t>
            </w:r>
          </w:p>
        </w:tc>
        <w:tc>
          <w:tcPr>
            <w:tcW w:w="1114" w:type="dxa"/>
            <w:tcBorders>
              <w:top w:val="nil"/>
              <w:left w:val="nil"/>
              <w:bottom w:val="nil"/>
              <w:right w:val="nil"/>
            </w:tcBorders>
            <w:shd w:val="clear" w:color="auto" w:fill="auto"/>
            <w:vAlign w:val="center"/>
            <w:hideMark/>
          </w:tcPr>
          <w:p w14:paraId="41740FBA" w14:textId="77777777" w:rsidR="0089194A" w:rsidRPr="0085125A" w:rsidRDefault="0089194A">
            <w:pPr>
              <w:jc w:val="center"/>
              <w:rPr>
                <w:sz w:val="20"/>
                <w:szCs w:val="20"/>
              </w:rPr>
            </w:pPr>
            <w:r w:rsidRPr="0085125A">
              <w:rPr>
                <w:sz w:val="20"/>
                <w:szCs w:val="20"/>
              </w:rPr>
              <w:t>-0.585</w:t>
            </w:r>
          </w:p>
        </w:tc>
        <w:tc>
          <w:tcPr>
            <w:tcW w:w="1080" w:type="dxa"/>
            <w:tcBorders>
              <w:top w:val="nil"/>
              <w:left w:val="nil"/>
              <w:bottom w:val="nil"/>
              <w:right w:val="nil"/>
            </w:tcBorders>
            <w:shd w:val="clear" w:color="auto" w:fill="auto"/>
            <w:vAlign w:val="center"/>
            <w:hideMark/>
          </w:tcPr>
          <w:p w14:paraId="1C8C225F" w14:textId="77777777" w:rsidR="0089194A" w:rsidRPr="0085125A" w:rsidRDefault="0089194A">
            <w:pPr>
              <w:jc w:val="center"/>
              <w:rPr>
                <w:sz w:val="20"/>
                <w:szCs w:val="20"/>
              </w:rPr>
            </w:pPr>
            <w:r w:rsidRPr="0085125A">
              <w:rPr>
                <w:sz w:val="20"/>
                <w:szCs w:val="20"/>
              </w:rPr>
              <w:t>0.0773</w:t>
            </w:r>
          </w:p>
        </w:tc>
        <w:tc>
          <w:tcPr>
            <w:tcW w:w="1080" w:type="dxa"/>
            <w:tcBorders>
              <w:top w:val="nil"/>
              <w:left w:val="nil"/>
              <w:bottom w:val="nil"/>
              <w:right w:val="nil"/>
            </w:tcBorders>
            <w:shd w:val="clear" w:color="auto" w:fill="auto"/>
            <w:vAlign w:val="center"/>
            <w:hideMark/>
          </w:tcPr>
          <w:p w14:paraId="470F5B25" w14:textId="77777777" w:rsidR="0089194A" w:rsidRPr="0085125A" w:rsidRDefault="0089194A">
            <w:pPr>
              <w:jc w:val="center"/>
              <w:rPr>
                <w:sz w:val="20"/>
                <w:szCs w:val="20"/>
              </w:rPr>
            </w:pPr>
            <w:r w:rsidRPr="0085125A">
              <w:rPr>
                <w:sz w:val="20"/>
                <w:szCs w:val="20"/>
              </w:rPr>
              <w:t>0.00659</w:t>
            </w:r>
          </w:p>
        </w:tc>
      </w:tr>
      <w:tr w:rsidR="0089194A" w:rsidRPr="0085125A" w14:paraId="5F4A6903"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3435267B"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761213F9" w14:textId="77777777" w:rsidR="0089194A" w:rsidRPr="0085125A" w:rsidRDefault="0089194A">
            <w:pPr>
              <w:jc w:val="center"/>
              <w:rPr>
                <w:sz w:val="20"/>
                <w:szCs w:val="20"/>
              </w:rPr>
            </w:pPr>
            <w:r w:rsidRPr="0085125A">
              <w:rPr>
                <w:sz w:val="20"/>
                <w:szCs w:val="20"/>
              </w:rPr>
              <w:t>-0.0327</w:t>
            </w:r>
          </w:p>
        </w:tc>
        <w:tc>
          <w:tcPr>
            <w:tcW w:w="1099" w:type="dxa"/>
            <w:tcBorders>
              <w:top w:val="nil"/>
              <w:left w:val="nil"/>
              <w:bottom w:val="nil"/>
              <w:right w:val="nil"/>
            </w:tcBorders>
            <w:shd w:val="clear" w:color="auto" w:fill="auto"/>
            <w:vAlign w:val="center"/>
            <w:hideMark/>
          </w:tcPr>
          <w:p w14:paraId="2E9528C0" w14:textId="77777777" w:rsidR="0089194A" w:rsidRPr="0085125A" w:rsidRDefault="0089194A">
            <w:pPr>
              <w:jc w:val="center"/>
              <w:rPr>
                <w:sz w:val="20"/>
                <w:szCs w:val="20"/>
              </w:rPr>
            </w:pPr>
            <w:r w:rsidRPr="0085125A">
              <w:rPr>
                <w:sz w:val="20"/>
                <w:szCs w:val="20"/>
              </w:rPr>
              <w:t>-0.0512</w:t>
            </w:r>
          </w:p>
        </w:tc>
        <w:tc>
          <w:tcPr>
            <w:tcW w:w="1050" w:type="dxa"/>
            <w:tcBorders>
              <w:top w:val="nil"/>
              <w:left w:val="nil"/>
              <w:bottom w:val="nil"/>
              <w:right w:val="nil"/>
            </w:tcBorders>
            <w:shd w:val="clear" w:color="auto" w:fill="auto"/>
            <w:vAlign w:val="center"/>
            <w:hideMark/>
          </w:tcPr>
          <w:p w14:paraId="2B4919CE" w14:textId="77777777" w:rsidR="0089194A" w:rsidRPr="0085125A" w:rsidRDefault="0089194A">
            <w:pPr>
              <w:jc w:val="center"/>
              <w:rPr>
                <w:sz w:val="20"/>
                <w:szCs w:val="20"/>
              </w:rPr>
            </w:pPr>
            <w:r w:rsidRPr="0085125A">
              <w:rPr>
                <w:sz w:val="20"/>
                <w:szCs w:val="20"/>
              </w:rPr>
              <w:t>-0.0484</w:t>
            </w:r>
          </w:p>
        </w:tc>
        <w:tc>
          <w:tcPr>
            <w:tcW w:w="1166" w:type="dxa"/>
            <w:tcBorders>
              <w:top w:val="nil"/>
              <w:left w:val="nil"/>
              <w:bottom w:val="nil"/>
              <w:right w:val="nil"/>
            </w:tcBorders>
            <w:shd w:val="clear" w:color="auto" w:fill="auto"/>
            <w:vAlign w:val="center"/>
            <w:hideMark/>
          </w:tcPr>
          <w:p w14:paraId="2E6FB553" w14:textId="77777777" w:rsidR="0089194A" w:rsidRPr="0085125A" w:rsidRDefault="0089194A">
            <w:pPr>
              <w:jc w:val="center"/>
              <w:rPr>
                <w:sz w:val="20"/>
                <w:szCs w:val="20"/>
              </w:rPr>
            </w:pPr>
            <w:r w:rsidRPr="0085125A">
              <w:rPr>
                <w:sz w:val="20"/>
                <w:szCs w:val="20"/>
              </w:rPr>
              <w:t>-0.00367</w:t>
            </w:r>
          </w:p>
        </w:tc>
        <w:tc>
          <w:tcPr>
            <w:tcW w:w="1114" w:type="dxa"/>
            <w:tcBorders>
              <w:top w:val="nil"/>
              <w:left w:val="nil"/>
              <w:bottom w:val="nil"/>
              <w:right w:val="nil"/>
            </w:tcBorders>
            <w:shd w:val="clear" w:color="auto" w:fill="auto"/>
            <w:vAlign w:val="center"/>
            <w:hideMark/>
          </w:tcPr>
          <w:p w14:paraId="0E8C018E" w14:textId="77777777" w:rsidR="0089194A" w:rsidRPr="0085125A" w:rsidRDefault="0089194A">
            <w:pPr>
              <w:jc w:val="center"/>
              <w:rPr>
                <w:sz w:val="20"/>
                <w:szCs w:val="20"/>
              </w:rPr>
            </w:pPr>
            <w:r w:rsidRPr="0085125A">
              <w:rPr>
                <w:sz w:val="20"/>
                <w:szCs w:val="20"/>
              </w:rPr>
              <w:t>-0.85</w:t>
            </w:r>
          </w:p>
        </w:tc>
        <w:tc>
          <w:tcPr>
            <w:tcW w:w="1080" w:type="dxa"/>
            <w:tcBorders>
              <w:top w:val="nil"/>
              <w:left w:val="nil"/>
              <w:bottom w:val="nil"/>
              <w:right w:val="nil"/>
            </w:tcBorders>
            <w:shd w:val="clear" w:color="auto" w:fill="auto"/>
            <w:vAlign w:val="center"/>
            <w:hideMark/>
          </w:tcPr>
          <w:p w14:paraId="2C24543E" w14:textId="77777777" w:rsidR="0089194A" w:rsidRPr="0085125A" w:rsidRDefault="0089194A">
            <w:pPr>
              <w:jc w:val="center"/>
              <w:rPr>
                <w:sz w:val="20"/>
                <w:szCs w:val="20"/>
              </w:rPr>
            </w:pPr>
            <w:r w:rsidRPr="0085125A">
              <w:rPr>
                <w:sz w:val="20"/>
                <w:szCs w:val="20"/>
              </w:rPr>
              <w:t>-6.64</w:t>
            </w:r>
          </w:p>
        </w:tc>
        <w:tc>
          <w:tcPr>
            <w:tcW w:w="1080" w:type="dxa"/>
            <w:tcBorders>
              <w:top w:val="nil"/>
              <w:left w:val="nil"/>
              <w:bottom w:val="nil"/>
              <w:right w:val="nil"/>
            </w:tcBorders>
            <w:shd w:val="clear" w:color="auto" w:fill="auto"/>
            <w:vAlign w:val="center"/>
            <w:hideMark/>
          </w:tcPr>
          <w:p w14:paraId="08C09615" w14:textId="77777777" w:rsidR="0089194A" w:rsidRPr="0085125A" w:rsidRDefault="0089194A">
            <w:pPr>
              <w:jc w:val="center"/>
              <w:rPr>
                <w:sz w:val="20"/>
                <w:szCs w:val="20"/>
              </w:rPr>
            </w:pPr>
            <w:r w:rsidRPr="0085125A">
              <w:rPr>
                <w:sz w:val="20"/>
                <w:szCs w:val="20"/>
              </w:rPr>
              <w:t>-0.0709</w:t>
            </w:r>
          </w:p>
        </w:tc>
      </w:tr>
      <w:tr w:rsidR="0089194A" w:rsidRPr="0085125A" w14:paraId="6579226B" w14:textId="77777777" w:rsidTr="00B417EC">
        <w:trPr>
          <w:gridAfter w:val="1"/>
          <w:wAfter w:w="90" w:type="dxa"/>
          <w:trHeight w:val="300"/>
        </w:trPr>
        <w:tc>
          <w:tcPr>
            <w:tcW w:w="1339" w:type="dxa"/>
            <w:tcBorders>
              <w:top w:val="nil"/>
              <w:left w:val="nil"/>
              <w:bottom w:val="nil"/>
              <w:right w:val="nil"/>
            </w:tcBorders>
            <w:shd w:val="clear" w:color="auto" w:fill="auto"/>
            <w:vAlign w:val="center"/>
            <w:hideMark/>
          </w:tcPr>
          <w:p w14:paraId="44AB7992" w14:textId="77777777" w:rsidR="0089194A" w:rsidRPr="0085125A" w:rsidRDefault="0089194A">
            <w:pPr>
              <w:jc w:val="center"/>
              <w:rPr>
                <w:sz w:val="20"/>
                <w:szCs w:val="20"/>
              </w:rPr>
            </w:pPr>
          </w:p>
        </w:tc>
        <w:tc>
          <w:tcPr>
            <w:tcW w:w="1072" w:type="dxa"/>
            <w:tcBorders>
              <w:top w:val="nil"/>
              <w:left w:val="nil"/>
              <w:bottom w:val="nil"/>
              <w:right w:val="nil"/>
            </w:tcBorders>
            <w:shd w:val="clear" w:color="auto" w:fill="auto"/>
            <w:vAlign w:val="center"/>
            <w:hideMark/>
          </w:tcPr>
          <w:p w14:paraId="0163BBF2" w14:textId="77777777" w:rsidR="0089194A" w:rsidRPr="0085125A" w:rsidRDefault="0089194A">
            <w:pPr>
              <w:jc w:val="both"/>
              <w:rPr>
                <w:sz w:val="20"/>
                <w:szCs w:val="20"/>
              </w:rPr>
            </w:pPr>
          </w:p>
        </w:tc>
        <w:tc>
          <w:tcPr>
            <w:tcW w:w="1099" w:type="dxa"/>
            <w:tcBorders>
              <w:top w:val="nil"/>
              <w:left w:val="nil"/>
              <w:bottom w:val="nil"/>
              <w:right w:val="nil"/>
            </w:tcBorders>
            <w:shd w:val="clear" w:color="auto" w:fill="auto"/>
            <w:vAlign w:val="center"/>
            <w:hideMark/>
          </w:tcPr>
          <w:p w14:paraId="6A2DE796" w14:textId="77777777" w:rsidR="0089194A" w:rsidRPr="0085125A" w:rsidRDefault="0089194A">
            <w:pPr>
              <w:jc w:val="center"/>
              <w:rPr>
                <w:sz w:val="20"/>
                <w:szCs w:val="20"/>
              </w:rPr>
            </w:pPr>
          </w:p>
        </w:tc>
        <w:tc>
          <w:tcPr>
            <w:tcW w:w="1050" w:type="dxa"/>
            <w:tcBorders>
              <w:top w:val="nil"/>
              <w:left w:val="nil"/>
              <w:bottom w:val="nil"/>
              <w:right w:val="nil"/>
            </w:tcBorders>
            <w:shd w:val="clear" w:color="auto" w:fill="auto"/>
            <w:vAlign w:val="center"/>
            <w:hideMark/>
          </w:tcPr>
          <w:p w14:paraId="7E1A59EE" w14:textId="77777777" w:rsidR="0089194A" w:rsidRPr="0085125A" w:rsidRDefault="0089194A">
            <w:pPr>
              <w:jc w:val="center"/>
              <w:rPr>
                <w:sz w:val="20"/>
                <w:szCs w:val="20"/>
              </w:rPr>
            </w:pPr>
          </w:p>
        </w:tc>
        <w:tc>
          <w:tcPr>
            <w:tcW w:w="1166" w:type="dxa"/>
            <w:tcBorders>
              <w:top w:val="nil"/>
              <w:left w:val="nil"/>
              <w:bottom w:val="nil"/>
              <w:right w:val="nil"/>
            </w:tcBorders>
            <w:shd w:val="clear" w:color="auto" w:fill="auto"/>
            <w:vAlign w:val="center"/>
            <w:hideMark/>
          </w:tcPr>
          <w:p w14:paraId="53F8EF1A" w14:textId="77777777" w:rsidR="0089194A" w:rsidRPr="0085125A" w:rsidRDefault="0089194A">
            <w:pPr>
              <w:jc w:val="center"/>
              <w:rPr>
                <w:sz w:val="20"/>
                <w:szCs w:val="20"/>
              </w:rPr>
            </w:pPr>
          </w:p>
        </w:tc>
        <w:tc>
          <w:tcPr>
            <w:tcW w:w="1114" w:type="dxa"/>
            <w:tcBorders>
              <w:top w:val="nil"/>
              <w:left w:val="nil"/>
              <w:bottom w:val="nil"/>
              <w:right w:val="nil"/>
            </w:tcBorders>
            <w:shd w:val="clear" w:color="auto" w:fill="auto"/>
            <w:vAlign w:val="center"/>
            <w:hideMark/>
          </w:tcPr>
          <w:p w14:paraId="0FF9AB2A" w14:textId="77777777" w:rsidR="0089194A" w:rsidRPr="0085125A" w:rsidRDefault="0089194A">
            <w:pPr>
              <w:jc w:val="center"/>
              <w:rPr>
                <w:sz w:val="20"/>
                <w:szCs w:val="20"/>
              </w:rPr>
            </w:pPr>
          </w:p>
        </w:tc>
        <w:tc>
          <w:tcPr>
            <w:tcW w:w="1080" w:type="dxa"/>
            <w:tcBorders>
              <w:top w:val="nil"/>
              <w:left w:val="nil"/>
              <w:bottom w:val="nil"/>
              <w:right w:val="nil"/>
            </w:tcBorders>
            <w:shd w:val="clear" w:color="auto" w:fill="auto"/>
            <w:vAlign w:val="center"/>
            <w:hideMark/>
          </w:tcPr>
          <w:p w14:paraId="78282141" w14:textId="77777777" w:rsidR="0089194A" w:rsidRPr="0085125A" w:rsidRDefault="0089194A">
            <w:pPr>
              <w:jc w:val="center"/>
              <w:rPr>
                <w:sz w:val="20"/>
                <w:szCs w:val="20"/>
              </w:rPr>
            </w:pPr>
          </w:p>
        </w:tc>
        <w:tc>
          <w:tcPr>
            <w:tcW w:w="1080" w:type="dxa"/>
            <w:tcBorders>
              <w:top w:val="nil"/>
              <w:left w:val="nil"/>
              <w:bottom w:val="nil"/>
              <w:right w:val="nil"/>
            </w:tcBorders>
            <w:shd w:val="clear" w:color="auto" w:fill="auto"/>
            <w:vAlign w:val="center"/>
            <w:hideMark/>
          </w:tcPr>
          <w:p w14:paraId="3690A0E4" w14:textId="77777777" w:rsidR="0089194A" w:rsidRPr="0085125A" w:rsidRDefault="0089194A">
            <w:pPr>
              <w:jc w:val="center"/>
              <w:rPr>
                <w:sz w:val="20"/>
                <w:szCs w:val="20"/>
              </w:rPr>
            </w:pPr>
          </w:p>
        </w:tc>
      </w:tr>
      <w:tr w:rsidR="0089194A" w:rsidRPr="0085125A" w14:paraId="15F68E12" w14:textId="77777777" w:rsidTr="00B417EC">
        <w:trPr>
          <w:gridAfter w:val="1"/>
          <w:wAfter w:w="90" w:type="dxa"/>
          <w:trHeight w:val="525"/>
        </w:trPr>
        <w:tc>
          <w:tcPr>
            <w:tcW w:w="1339" w:type="dxa"/>
            <w:tcBorders>
              <w:top w:val="nil"/>
              <w:left w:val="nil"/>
              <w:bottom w:val="single" w:sz="8" w:space="0" w:color="auto"/>
              <w:right w:val="nil"/>
            </w:tcBorders>
            <w:shd w:val="clear" w:color="auto" w:fill="auto"/>
            <w:vAlign w:val="center"/>
            <w:hideMark/>
          </w:tcPr>
          <w:p w14:paraId="732A49AB" w14:textId="77777777" w:rsidR="0089194A" w:rsidRPr="0085125A" w:rsidRDefault="0089194A">
            <w:pPr>
              <w:jc w:val="both"/>
              <w:rPr>
                <w:sz w:val="20"/>
                <w:szCs w:val="20"/>
              </w:rPr>
            </w:pPr>
            <w:r w:rsidRPr="0085125A">
              <w:rPr>
                <w:sz w:val="20"/>
                <w:szCs w:val="20"/>
              </w:rPr>
              <w:t>Observations</w:t>
            </w:r>
          </w:p>
        </w:tc>
        <w:tc>
          <w:tcPr>
            <w:tcW w:w="1072" w:type="dxa"/>
            <w:tcBorders>
              <w:top w:val="nil"/>
              <w:left w:val="nil"/>
              <w:bottom w:val="single" w:sz="8" w:space="0" w:color="auto"/>
              <w:right w:val="nil"/>
            </w:tcBorders>
            <w:shd w:val="clear" w:color="auto" w:fill="auto"/>
            <w:vAlign w:val="center"/>
            <w:hideMark/>
          </w:tcPr>
          <w:p w14:paraId="38592D6B" w14:textId="77777777" w:rsidR="0089194A" w:rsidRPr="0085125A" w:rsidRDefault="0089194A">
            <w:pPr>
              <w:jc w:val="center"/>
              <w:rPr>
                <w:sz w:val="20"/>
                <w:szCs w:val="20"/>
              </w:rPr>
            </w:pPr>
            <w:r w:rsidRPr="0085125A">
              <w:rPr>
                <w:sz w:val="20"/>
                <w:szCs w:val="20"/>
              </w:rPr>
              <w:t>28</w:t>
            </w:r>
          </w:p>
        </w:tc>
        <w:tc>
          <w:tcPr>
            <w:tcW w:w="1099" w:type="dxa"/>
            <w:tcBorders>
              <w:top w:val="nil"/>
              <w:left w:val="nil"/>
              <w:bottom w:val="single" w:sz="8" w:space="0" w:color="auto"/>
              <w:right w:val="nil"/>
            </w:tcBorders>
            <w:shd w:val="clear" w:color="auto" w:fill="auto"/>
            <w:vAlign w:val="center"/>
            <w:hideMark/>
          </w:tcPr>
          <w:p w14:paraId="503024EE" w14:textId="77777777" w:rsidR="0089194A" w:rsidRPr="0085125A" w:rsidRDefault="0089194A">
            <w:pPr>
              <w:jc w:val="center"/>
              <w:rPr>
                <w:sz w:val="20"/>
                <w:szCs w:val="20"/>
              </w:rPr>
            </w:pPr>
            <w:r w:rsidRPr="0085125A">
              <w:rPr>
                <w:sz w:val="20"/>
                <w:szCs w:val="20"/>
              </w:rPr>
              <w:t>28</w:t>
            </w:r>
          </w:p>
        </w:tc>
        <w:tc>
          <w:tcPr>
            <w:tcW w:w="1050" w:type="dxa"/>
            <w:tcBorders>
              <w:top w:val="nil"/>
              <w:left w:val="nil"/>
              <w:bottom w:val="single" w:sz="8" w:space="0" w:color="auto"/>
              <w:right w:val="nil"/>
            </w:tcBorders>
            <w:shd w:val="clear" w:color="auto" w:fill="auto"/>
            <w:vAlign w:val="center"/>
            <w:hideMark/>
          </w:tcPr>
          <w:p w14:paraId="6205AE1A" w14:textId="77777777" w:rsidR="0089194A" w:rsidRPr="0085125A" w:rsidRDefault="0089194A">
            <w:pPr>
              <w:jc w:val="center"/>
              <w:rPr>
                <w:sz w:val="20"/>
                <w:szCs w:val="20"/>
              </w:rPr>
            </w:pPr>
            <w:r w:rsidRPr="0085125A">
              <w:rPr>
                <w:sz w:val="20"/>
                <w:szCs w:val="20"/>
              </w:rPr>
              <w:t>28</w:t>
            </w:r>
          </w:p>
        </w:tc>
        <w:tc>
          <w:tcPr>
            <w:tcW w:w="1166" w:type="dxa"/>
            <w:tcBorders>
              <w:top w:val="nil"/>
              <w:left w:val="nil"/>
              <w:bottom w:val="single" w:sz="8" w:space="0" w:color="auto"/>
              <w:right w:val="nil"/>
            </w:tcBorders>
            <w:shd w:val="clear" w:color="auto" w:fill="auto"/>
            <w:vAlign w:val="center"/>
            <w:hideMark/>
          </w:tcPr>
          <w:p w14:paraId="0EF50E04" w14:textId="77777777" w:rsidR="0089194A" w:rsidRPr="0085125A" w:rsidRDefault="0089194A">
            <w:pPr>
              <w:jc w:val="center"/>
              <w:rPr>
                <w:sz w:val="20"/>
                <w:szCs w:val="20"/>
              </w:rPr>
            </w:pPr>
            <w:r w:rsidRPr="0085125A">
              <w:rPr>
                <w:sz w:val="20"/>
                <w:szCs w:val="20"/>
              </w:rPr>
              <w:t>28</w:t>
            </w:r>
          </w:p>
        </w:tc>
        <w:tc>
          <w:tcPr>
            <w:tcW w:w="1114" w:type="dxa"/>
            <w:tcBorders>
              <w:top w:val="nil"/>
              <w:left w:val="nil"/>
              <w:bottom w:val="single" w:sz="8" w:space="0" w:color="auto"/>
              <w:right w:val="nil"/>
            </w:tcBorders>
            <w:shd w:val="clear" w:color="auto" w:fill="auto"/>
            <w:vAlign w:val="center"/>
            <w:hideMark/>
          </w:tcPr>
          <w:p w14:paraId="6A275883" w14:textId="77777777" w:rsidR="0089194A" w:rsidRPr="0085125A" w:rsidRDefault="0089194A">
            <w:pPr>
              <w:jc w:val="center"/>
              <w:rPr>
                <w:sz w:val="20"/>
                <w:szCs w:val="20"/>
              </w:rPr>
            </w:pPr>
            <w:r w:rsidRPr="0085125A">
              <w:rPr>
                <w:sz w:val="20"/>
                <w:szCs w:val="20"/>
              </w:rPr>
              <w:t>28</w:t>
            </w:r>
          </w:p>
        </w:tc>
        <w:tc>
          <w:tcPr>
            <w:tcW w:w="1080" w:type="dxa"/>
            <w:tcBorders>
              <w:top w:val="nil"/>
              <w:left w:val="nil"/>
              <w:bottom w:val="single" w:sz="8" w:space="0" w:color="auto"/>
              <w:right w:val="nil"/>
            </w:tcBorders>
            <w:shd w:val="clear" w:color="auto" w:fill="auto"/>
            <w:vAlign w:val="center"/>
            <w:hideMark/>
          </w:tcPr>
          <w:p w14:paraId="027B881D" w14:textId="77777777" w:rsidR="0089194A" w:rsidRPr="0085125A" w:rsidRDefault="0089194A">
            <w:pPr>
              <w:jc w:val="center"/>
              <w:rPr>
                <w:sz w:val="20"/>
                <w:szCs w:val="20"/>
              </w:rPr>
            </w:pPr>
            <w:r w:rsidRPr="0085125A">
              <w:rPr>
                <w:sz w:val="20"/>
                <w:szCs w:val="20"/>
              </w:rPr>
              <w:t>28</w:t>
            </w:r>
          </w:p>
        </w:tc>
        <w:tc>
          <w:tcPr>
            <w:tcW w:w="1080" w:type="dxa"/>
            <w:tcBorders>
              <w:top w:val="nil"/>
              <w:left w:val="nil"/>
              <w:bottom w:val="single" w:sz="8" w:space="0" w:color="auto"/>
              <w:right w:val="nil"/>
            </w:tcBorders>
            <w:shd w:val="clear" w:color="auto" w:fill="auto"/>
            <w:vAlign w:val="center"/>
            <w:hideMark/>
          </w:tcPr>
          <w:p w14:paraId="582170F0" w14:textId="77777777" w:rsidR="0089194A" w:rsidRPr="0085125A" w:rsidRDefault="0089194A">
            <w:pPr>
              <w:jc w:val="center"/>
              <w:rPr>
                <w:sz w:val="20"/>
                <w:szCs w:val="20"/>
              </w:rPr>
            </w:pPr>
            <w:r w:rsidRPr="0085125A">
              <w:rPr>
                <w:sz w:val="20"/>
                <w:szCs w:val="20"/>
              </w:rPr>
              <w:t>28</w:t>
            </w:r>
          </w:p>
        </w:tc>
      </w:tr>
    </w:tbl>
    <w:p w14:paraId="3A0F5E09" w14:textId="77777777" w:rsidR="007F30FD" w:rsidRPr="0085125A" w:rsidRDefault="007F30FD" w:rsidP="007F30FD">
      <w:pPr>
        <w:widowControl w:val="0"/>
        <w:autoSpaceDE w:val="0"/>
        <w:autoSpaceDN w:val="0"/>
        <w:adjustRightInd w:val="0"/>
      </w:pPr>
      <w:r w:rsidRPr="0085125A">
        <w:t xml:space="preserve"> </w:t>
      </w:r>
    </w:p>
    <w:p w14:paraId="4F00CEF5" w14:textId="7A97629F" w:rsidR="007F30FD" w:rsidRPr="0085125A" w:rsidRDefault="007F30FD" w:rsidP="007F30FD">
      <w:pPr>
        <w:widowControl w:val="0"/>
        <w:autoSpaceDE w:val="0"/>
        <w:autoSpaceDN w:val="0"/>
        <w:adjustRightInd w:val="0"/>
      </w:pPr>
      <w:r w:rsidRPr="0085125A">
        <w:t>Standard errors in parentheses *** p&lt;0.01, ** p&lt;0.05, * p&lt;0.1</w:t>
      </w:r>
    </w:p>
    <w:p w14:paraId="70488BB0" w14:textId="77777777" w:rsidR="007F30FD" w:rsidRPr="0085125A" w:rsidRDefault="007F30FD" w:rsidP="007F30FD">
      <w:pPr>
        <w:widowControl w:val="0"/>
        <w:autoSpaceDE w:val="0"/>
        <w:autoSpaceDN w:val="0"/>
        <w:adjustRightInd w:val="0"/>
      </w:pPr>
    </w:p>
    <w:p w14:paraId="6B3961D7" w14:textId="5DB282C4" w:rsidR="0089194A" w:rsidRPr="0085125A" w:rsidRDefault="007F30FD" w:rsidP="003B4B04">
      <w:pPr>
        <w:spacing w:after="200" w:line="360" w:lineRule="auto"/>
        <w:jc w:val="both"/>
      </w:pPr>
      <w:r w:rsidRPr="0085125A">
        <w:rPr>
          <w:rFonts w:eastAsiaTheme="majorEastAsia"/>
        </w:rPr>
        <w:t>The coefficients of the total energy consumption and control variables detect short-run causality running from GDP</w:t>
      </w:r>
      <w:r w:rsidRPr="0085125A">
        <w:t xml:space="preserve"> per capita, trade openness, population growth, industrialization, FDI, and </w:t>
      </w:r>
      <w:r w:rsidRPr="0085125A">
        <w:lastRenderedPageBreak/>
        <w:t xml:space="preserve">urbanization to total final energy consumption. Accordingly, the value of  </w:t>
      </w:r>
      <m:oMath>
        <m:sSub>
          <m:sSubPr>
            <m:ctrlPr>
              <w:rPr>
                <w:rFonts w:ascii="Cambria Math" w:hAnsi="Cambria Math"/>
                <w:bCs/>
                <w:i/>
                <w:iCs/>
              </w:rPr>
            </m:ctrlPr>
          </m:sSubPr>
          <m:e>
            <m:r>
              <w:rPr>
                <w:rFonts w:ascii="Cambria Math" w:hAnsi="Cambria Math"/>
              </w:rPr>
              <m:t>β</m:t>
            </m:r>
          </m:e>
          <m:sub>
            <m:r>
              <w:rPr>
                <w:rFonts w:ascii="Cambria Math" w:hAnsi="Cambria Math"/>
              </w:rPr>
              <m:t>1</m:t>
            </m:r>
          </m:sub>
        </m:sSub>
      </m:oMath>
      <w:r w:rsidRPr="0085125A">
        <w:rPr>
          <w:rFonts w:eastAsiaTheme="minorEastAsia"/>
          <w:bCs/>
          <w:iCs/>
        </w:rPr>
        <w:t xml:space="preserve"> on model 2 is -0.186*** and it is significant at 1%, </w:t>
      </w:r>
      <m:oMath>
        <m:sSub>
          <m:sSubPr>
            <m:ctrlPr>
              <w:rPr>
                <w:rFonts w:ascii="Cambria Math" w:hAnsi="Cambria Math"/>
                <w:bCs/>
                <w:i/>
                <w:iCs/>
              </w:rPr>
            </m:ctrlPr>
          </m:sSubPr>
          <m:e>
            <m:r>
              <w:rPr>
                <w:rFonts w:ascii="Cambria Math" w:hAnsi="Cambria Math"/>
              </w:rPr>
              <m:t>β</m:t>
            </m:r>
          </m:e>
          <m:sub>
            <m:r>
              <w:rPr>
                <w:rFonts w:ascii="Cambria Math" w:hAnsi="Cambria Math"/>
              </w:rPr>
              <m:t>2</m:t>
            </m:r>
          </m:sub>
        </m:sSub>
      </m:oMath>
      <w:r w:rsidRPr="0085125A">
        <w:rPr>
          <w:rFonts w:eastAsiaTheme="minorEastAsia"/>
          <w:bCs/>
          <w:iCs/>
        </w:rPr>
        <w:t xml:space="preserve"> on model 3 is 0.333*** and it is significant at 1%; significant at 1%  </w:t>
      </w:r>
      <m:oMath>
        <m:sSub>
          <m:sSubPr>
            <m:ctrlPr>
              <w:rPr>
                <w:rFonts w:ascii="Cambria Math" w:hAnsi="Cambria Math"/>
                <w:bCs/>
                <w:i/>
                <w:iCs/>
              </w:rPr>
            </m:ctrlPr>
          </m:sSubPr>
          <m:e>
            <m:r>
              <w:rPr>
                <w:rFonts w:ascii="Cambria Math" w:hAnsi="Cambria Math"/>
              </w:rPr>
              <m:t>β</m:t>
            </m:r>
          </m:e>
          <m:sub>
            <m:r>
              <w:rPr>
                <w:rFonts w:ascii="Cambria Math" w:hAnsi="Cambria Math"/>
              </w:rPr>
              <m:t>3</m:t>
            </m:r>
          </m:sub>
        </m:sSub>
      </m:oMath>
      <w:r w:rsidRPr="0085125A">
        <w:rPr>
          <w:rFonts w:eastAsiaTheme="minorEastAsia"/>
          <w:bCs/>
          <w:iCs/>
        </w:rPr>
        <w:t xml:space="preserve"> on model 4 is 0.007***,</w:t>
      </w:r>
      <m:oMath>
        <m:sSub>
          <m:sSubPr>
            <m:ctrlPr>
              <w:rPr>
                <w:rFonts w:ascii="Cambria Math" w:hAnsi="Cambria Math"/>
                <w:bCs/>
                <w:i/>
                <w:iCs/>
              </w:rPr>
            </m:ctrlPr>
          </m:sSubPr>
          <m:e>
            <m:r>
              <w:rPr>
                <w:rFonts w:ascii="Cambria Math" w:hAnsi="Cambria Math"/>
              </w:rPr>
              <m:t xml:space="preserve"> β</m:t>
            </m:r>
          </m:e>
          <m:sub>
            <m:r>
              <w:rPr>
                <w:rFonts w:ascii="Cambria Math" w:hAnsi="Cambria Math"/>
              </w:rPr>
              <m:t>4</m:t>
            </m:r>
          </m:sub>
        </m:sSub>
      </m:oMath>
      <w:r w:rsidRPr="0085125A">
        <w:rPr>
          <w:rFonts w:eastAsiaTheme="minorEastAsia"/>
          <w:bCs/>
          <w:iCs/>
        </w:rPr>
        <w:t>. On model 5 is -2.357***,</w:t>
      </w:r>
      <m:oMath>
        <m:sSub>
          <m:sSubPr>
            <m:ctrlPr>
              <w:rPr>
                <w:rFonts w:ascii="Cambria Math" w:hAnsi="Cambria Math"/>
                <w:bCs/>
                <w:i/>
                <w:iCs/>
              </w:rPr>
            </m:ctrlPr>
          </m:sSubPr>
          <m:e>
            <m:r>
              <w:rPr>
                <w:rFonts w:ascii="Cambria Math" w:hAnsi="Cambria Math"/>
              </w:rPr>
              <m:t>β</m:t>
            </m:r>
          </m:e>
          <m:sub>
            <m:r>
              <w:rPr>
                <w:rFonts w:ascii="Cambria Math" w:hAnsi="Cambria Math"/>
              </w:rPr>
              <m:t>5</m:t>
            </m:r>
          </m:sub>
        </m:sSub>
      </m:oMath>
      <w:r w:rsidRPr="0085125A">
        <w:rPr>
          <w:rFonts w:eastAsiaTheme="minorEastAsia"/>
          <w:bCs/>
          <w:iCs/>
        </w:rPr>
        <w:t xml:space="preserve"> on model 6 is –18.8***, significant at 5% on </w:t>
      </w:r>
      <m:oMath>
        <m:sSub>
          <m:sSubPr>
            <m:ctrlPr>
              <w:rPr>
                <w:rFonts w:ascii="Cambria Math" w:hAnsi="Cambria Math"/>
                <w:bCs/>
                <w:i/>
                <w:iCs/>
              </w:rPr>
            </m:ctrlPr>
          </m:sSubPr>
          <m:e>
            <m:r>
              <w:rPr>
                <w:rFonts w:ascii="Cambria Math" w:hAnsi="Cambria Math"/>
              </w:rPr>
              <m:t>β</m:t>
            </m:r>
          </m:e>
          <m:sub>
            <m:r>
              <w:rPr>
                <w:rFonts w:ascii="Cambria Math" w:hAnsi="Cambria Math"/>
              </w:rPr>
              <m:t>6</m:t>
            </m:r>
          </m:sub>
        </m:sSub>
      </m:oMath>
      <w:r w:rsidRPr="0085125A">
        <w:rPr>
          <w:rFonts w:eastAsiaTheme="minorEastAsia"/>
          <w:bCs/>
          <w:iCs/>
        </w:rPr>
        <w:t xml:space="preserve"> on model 7 is 0.134**. These values represent the short-run coefficients and short-run equilibrium. For long-run equilibrium relationship, the adjustment term (-0.0446*) is statistically significant at 10 % level with negative sign, implying that the previous year deviation from long-run equilibrium is corrected within the current year with an adjustment speed of 4.4%.</w:t>
      </w:r>
    </w:p>
    <w:p w14:paraId="2A3A4A30" w14:textId="77777777" w:rsidR="002A4FBC" w:rsidRPr="0085125A" w:rsidRDefault="002A4FBC" w:rsidP="002A4FBC">
      <w:pPr>
        <w:spacing w:after="200" w:line="276" w:lineRule="auto"/>
        <w:jc w:val="both"/>
        <w:rPr>
          <w:b/>
          <w:shd w:val="clear" w:color="auto" w:fill="FCFCFC"/>
        </w:rPr>
      </w:pPr>
      <w:r w:rsidRPr="0085125A">
        <w:rPr>
          <w:b/>
          <w:shd w:val="clear" w:color="auto" w:fill="FCFCFC"/>
        </w:rPr>
        <w:t xml:space="preserve">Table 12.Diagonistic test showing results of serial correlation and Normality tests. </w:t>
      </w:r>
    </w:p>
    <w:tbl>
      <w:tblPr>
        <w:tblW w:w="9540" w:type="dxa"/>
        <w:tblLook w:val="04A0" w:firstRow="1" w:lastRow="0" w:firstColumn="1" w:lastColumn="0" w:noHBand="0" w:noVBand="1"/>
      </w:tblPr>
      <w:tblGrid>
        <w:gridCol w:w="2520"/>
        <w:gridCol w:w="4240"/>
        <w:gridCol w:w="2780"/>
      </w:tblGrid>
      <w:tr w:rsidR="002A4FBC" w:rsidRPr="0085125A" w14:paraId="5965F726" w14:textId="77777777" w:rsidTr="002A4FBC">
        <w:trPr>
          <w:trHeight w:val="300"/>
        </w:trPr>
        <w:tc>
          <w:tcPr>
            <w:tcW w:w="2520" w:type="dxa"/>
            <w:tcBorders>
              <w:top w:val="nil"/>
              <w:left w:val="nil"/>
              <w:bottom w:val="nil"/>
              <w:right w:val="nil"/>
            </w:tcBorders>
            <w:shd w:val="clear" w:color="auto" w:fill="auto"/>
            <w:noWrap/>
            <w:vAlign w:val="bottom"/>
            <w:hideMark/>
          </w:tcPr>
          <w:p w14:paraId="193CDBF9" w14:textId="77777777" w:rsidR="002A4FBC" w:rsidRPr="0085125A" w:rsidRDefault="002A4FBC" w:rsidP="002A4FBC">
            <w:pPr>
              <w:jc w:val="both"/>
              <w:rPr>
                <w:sz w:val="18"/>
                <w:szCs w:val="18"/>
              </w:rPr>
            </w:pPr>
            <w:r w:rsidRPr="0085125A">
              <w:rPr>
                <w:sz w:val="18"/>
                <w:szCs w:val="18"/>
              </w:rPr>
              <w:t>Diagonistic tests</w:t>
            </w:r>
          </w:p>
        </w:tc>
        <w:tc>
          <w:tcPr>
            <w:tcW w:w="4240" w:type="dxa"/>
            <w:tcBorders>
              <w:top w:val="nil"/>
              <w:left w:val="nil"/>
              <w:bottom w:val="nil"/>
              <w:right w:val="nil"/>
            </w:tcBorders>
            <w:shd w:val="clear" w:color="auto" w:fill="auto"/>
            <w:noWrap/>
            <w:vAlign w:val="bottom"/>
            <w:hideMark/>
          </w:tcPr>
          <w:p w14:paraId="4ECF8C57" w14:textId="77777777" w:rsidR="002A4FBC" w:rsidRPr="0085125A" w:rsidRDefault="002A4FBC" w:rsidP="002A4FBC">
            <w:pPr>
              <w:jc w:val="both"/>
              <w:rPr>
                <w:sz w:val="18"/>
                <w:szCs w:val="18"/>
              </w:rPr>
            </w:pPr>
            <w:r w:rsidRPr="0085125A">
              <w:rPr>
                <w:sz w:val="18"/>
                <w:szCs w:val="18"/>
              </w:rPr>
              <w:t xml:space="preserve">                                                                               Statistics</w:t>
            </w:r>
          </w:p>
        </w:tc>
        <w:tc>
          <w:tcPr>
            <w:tcW w:w="2780" w:type="dxa"/>
            <w:tcBorders>
              <w:top w:val="nil"/>
              <w:left w:val="nil"/>
              <w:bottom w:val="nil"/>
              <w:right w:val="nil"/>
            </w:tcBorders>
            <w:shd w:val="clear" w:color="auto" w:fill="auto"/>
            <w:noWrap/>
            <w:vAlign w:val="bottom"/>
            <w:hideMark/>
          </w:tcPr>
          <w:p w14:paraId="0B47B7E1" w14:textId="77777777" w:rsidR="002A4FBC" w:rsidRPr="0085125A" w:rsidRDefault="002A4FBC" w:rsidP="002A4FBC">
            <w:pPr>
              <w:jc w:val="both"/>
              <w:rPr>
                <w:sz w:val="18"/>
                <w:szCs w:val="18"/>
              </w:rPr>
            </w:pPr>
            <w:r w:rsidRPr="0085125A">
              <w:rPr>
                <w:sz w:val="18"/>
                <w:szCs w:val="18"/>
              </w:rPr>
              <w:t>Results</w:t>
            </w:r>
          </w:p>
        </w:tc>
      </w:tr>
      <w:tr w:rsidR="002A4FBC" w:rsidRPr="0085125A" w14:paraId="00838426" w14:textId="77777777" w:rsidTr="002A4FBC">
        <w:trPr>
          <w:trHeight w:val="300"/>
        </w:trPr>
        <w:tc>
          <w:tcPr>
            <w:tcW w:w="2520" w:type="dxa"/>
            <w:tcBorders>
              <w:top w:val="nil"/>
              <w:left w:val="nil"/>
              <w:bottom w:val="nil"/>
              <w:right w:val="nil"/>
            </w:tcBorders>
            <w:shd w:val="clear" w:color="auto" w:fill="auto"/>
            <w:noWrap/>
            <w:vAlign w:val="bottom"/>
            <w:hideMark/>
          </w:tcPr>
          <w:p w14:paraId="37C7406D" w14:textId="77777777" w:rsidR="002A4FBC" w:rsidRPr="0085125A" w:rsidRDefault="002A4FBC" w:rsidP="002A4FBC">
            <w:pPr>
              <w:jc w:val="both"/>
              <w:rPr>
                <w:sz w:val="18"/>
                <w:szCs w:val="18"/>
              </w:rPr>
            </w:pPr>
            <w:r w:rsidRPr="0085125A">
              <w:rPr>
                <w:sz w:val="18"/>
                <w:szCs w:val="18"/>
              </w:rPr>
              <w:t>R squared</w:t>
            </w:r>
          </w:p>
        </w:tc>
        <w:tc>
          <w:tcPr>
            <w:tcW w:w="4240" w:type="dxa"/>
            <w:tcBorders>
              <w:top w:val="nil"/>
              <w:left w:val="nil"/>
              <w:bottom w:val="nil"/>
              <w:right w:val="nil"/>
            </w:tcBorders>
            <w:shd w:val="clear" w:color="auto" w:fill="auto"/>
            <w:noWrap/>
            <w:vAlign w:val="bottom"/>
            <w:hideMark/>
          </w:tcPr>
          <w:p w14:paraId="71FF6458" w14:textId="4C4A19F3" w:rsidR="002A4FBC" w:rsidRPr="0085125A" w:rsidRDefault="002D0B99" w:rsidP="002A4FBC">
            <w:pPr>
              <w:jc w:val="both"/>
              <w:rPr>
                <w:sz w:val="18"/>
                <w:szCs w:val="18"/>
              </w:rPr>
            </w:pPr>
            <w:r w:rsidRPr="0085125A">
              <w:rPr>
                <w:sz w:val="18"/>
                <w:szCs w:val="18"/>
              </w:rPr>
              <w:t>0.9531</w:t>
            </w:r>
          </w:p>
        </w:tc>
        <w:tc>
          <w:tcPr>
            <w:tcW w:w="2780" w:type="dxa"/>
            <w:tcBorders>
              <w:top w:val="nil"/>
              <w:left w:val="nil"/>
              <w:bottom w:val="nil"/>
              <w:right w:val="nil"/>
            </w:tcBorders>
            <w:shd w:val="clear" w:color="auto" w:fill="auto"/>
            <w:noWrap/>
            <w:vAlign w:val="bottom"/>
            <w:hideMark/>
          </w:tcPr>
          <w:p w14:paraId="6DB9807F" w14:textId="77777777" w:rsidR="002A4FBC" w:rsidRPr="0085125A" w:rsidRDefault="002A4FBC" w:rsidP="002A4FBC">
            <w:pPr>
              <w:jc w:val="both"/>
              <w:rPr>
                <w:sz w:val="18"/>
                <w:szCs w:val="18"/>
              </w:rPr>
            </w:pPr>
            <w:r w:rsidRPr="0085125A">
              <w:rPr>
                <w:sz w:val="18"/>
                <w:szCs w:val="18"/>
              </w:rPr>
              <w:t>Good fitted</w:t>
            </w:r>
          </w:p>
        </w:tc>
      </w:tr>
      <w:tr w:rsidR="002A4FBC" w:rsidRPr="0085125A" w14:paraId="67C69E7A" w14:textId="77777777" w:rsidTr="002A4FBC">
        <w:trPr>
          <w:trHeight w:val="300"/>
        </w:trPr>
        <w:tc>
          <w:tcPr>
            <w:tcW w:w="2520" w:type="dxa"/>
            <w:tcBorders>
              <w:top w:val="nil"/>
              <w:left w:val="nil"/>
              <w:bottom w:val="nil"/>
              <w:right w:val="nil"/>
            </w:tcBorders>
            <w:shd w:val="clear" w:color="auto" w:fill="auto"/>
            <w:noWrap/>
            <w:vAlign w:val="bottom"/>
            <w:hideMark/>
          </w:tcPr>
          <w:p w14:paraId="50714A98" w14:textId="77777777" w:rsidR="002A4FBC" w:rsidRPr="0085125A" w:rsidRDefault="002A4FBC" w:rsidP="002A4FBC">
            <w:pPr>
              <w:jc w:val="both"/>
              <w:rPr>
                <w:sz w:val="18"/>
                <w:szCs w:val="18"/>
              </w:rPr>
            </w:pPr>
            <w:r w:rsidRPr="0085125A">
              <w:rPr>
                <w:sz w:val="18"/>
                <w:szCs w:val="18"/>
              </w:rPr>
              <w:t>Adj R-squared</w:t>
            </w:r>
          </w:p>
        </w:tc>
        <w:tc>
          <w:tcPr>
            <w:tcW w:w="4240" w:type="dxa"/>
            <w:tcBorders>
              <w:top w:val="nil"/>
              <w:left w:val="nil"/>
              <w:bottom w:val="nil"/>
              <w:right w:val="nil"/>
            </w:tcBorders>
            <w:shd w:val="clear" w:color="auto" w:fill="auto"/>
            <w:noWrap/>
            <w:vAlign w:val="bottom"/>
            <w:hideMark/>
          </w:tcPr>
          <w:p w14:paraId="25478A2E" w14:textId="77777777" w:rsidR="002A4FBC" w:rsidRPr="0085125A" w:rsidRDefault="002A4FBC" w:rsidP="002A4FBC">
            <w:pPr>
              <w:jc w:val="both"/>
              <w:rPr>
                <w:sz w:val="18"/>
                <w:szCs w:val="18"/>
              </w:rPr>
            </w:pPr>
            <w:r w:rsidRPr="0085125A">
              <w:rPr>
                <w:sz w:val="18"/>
                <w:szCs w:val="18"/>
              </w:rPr>
              <w:t>0.9995</w:t>
            </w:r>
          </w:p>
        </w:tc>
        <w:tc>
          <w:tcPr>
            <w:tcW w:w="2780" w:type="dxa"/>
            <w:tcBorders>
              <w:top w:val="nil"/>
              <w:left w:val="nil"/>
              <w:bottom w:val="nil"/>
              <w:right w:val="nil"/>
            </w:tcBorders>
            <w:shd w:val="clear" w:color="auto" w:fill="auto"/>
            <w:noWrap/>
            <w:vAlign w:val="bottom"/>
            <w:hideMark/>
          </w:tcPr>
          <w:p w14:paraId="448CC74D" w14:textId="77777777" w:rsidR="002A4FBC" w:rsidRPr="0085125A" w:rsidRDefault="002A4FBC" w:rsidP="002A4FBC">
            <w:pPr>
              <w:jc w:val="both"/>
              <w:rPr>
                <w:sz w:val="18"/>
                <w:szCs w:val="18"/>
              </w:rPr>
            </w:pPr>
            <w:r w:rsidRPr="0085125A">
              <w:rPr>
                <w:sz w:val="18"/>
                <w:szCs w:val="18"/>
              </w:rPr>
              <w:t>Good fitted</w:t>
            </w:r>
          </w:p>
        </w:tc>
      </w:tr>
      <w:tr w:rsidR="002A4FBC" w:rsidRPr="0085125A" w14:paraId="66E75011" w14:textId="77777777" w:rsidTr="002A4FBC">
        <w:trPr>
          <w:trHeight w:val="300"/>
        </w:trPr>
        <w:tc>
          <w:tcPr>
            <w:tcW w:w="2520" w:type="dxa"/>
            <w:tcBorders>
              <w:top w:val="nil"/>
              <w:left w:val="nil"/>
              <w:bottom w:val="nil"/>
              <w:right w:val="nil"/>
            </w:tcBorders>
            <w:shd w:val="clear" w:color="auto" w:fill="auto"/>
            <w:noWrap/>
            <w:vAlign w:val="bottom"/>
            <w:hideMark/>
          </w:tcPr>
          <w:p w14:paraId="49BA8F6D" w14:textId="77777777" w:rsidR="002A4FBC" w:rsidRPr="0085125A" w:rsidRDefault="002A4FBC" w:rsidP="002A4FBC">
            <w:pPr>
              <w:jc w:val="both"/>
              <w:rPr>
                <w:sz w:val="18"/>
                <w:szCs w:val="18"/>
              </w:rPr>
            </w:pPr>
            <w:r w:rsidRPr="0085125A">
              <w:rPr>
                <w:sz w:val="18"/>
                <w:szCs w:val="18"/>
              </w:rPr>
              <w:t>Breusch-Godfrey LM</w:t>
            </w:r>
          </w:p>
        </w:tc>
        <w:tc>
          <w:tcPr>
            <w:tcW w:w="4240" w:type="dxa"/>
            <w:tcBorders>
              <w:top w:val="nil"/>
              <w:left w:val="nil"/>
              <w:bottom w:val="nil"/>
              <w:right w:val="nil"/>
            </w:tcBorders>
            <w:shd w:val="clear" w:color="auto" w:fill="auto"/>
            <w:noWrap/>
            <w:vAlign w:val="bottom"/>
            <w:hideMark/>
          </w:tcPr>
          <w:p w14:paraId="151D3206" w14:textId="5F9E4B70" w:rsidR="002A4FBC" w:rsidRPr="0085125A" w:rsidRDefault="00136B05" w:rsidP="00136B05">
            <w:pPr>
              <w:jc w:val="both"/>
              <w:rPr>
                <w:sz w:val="18"/>
                <w:szCs w:val="18"/>
              </w:rPr>
            </w:pPr>
            <w:r w:rsidRPr="0085125A">
              <w:rPr>
                <w:sz w:val="18"/>
                <w:szCs w:val="18"/>
              </w:rPr>
              <w:t>0.9026</w:t>
            </w:r>
          </w:p>
        </w:tc>
        <w:tc>
          <w:tcPr>
            <w:tcW w:w="2780" w:type="dxa"/>
            <w:tcBorders>
              <w:top w:val="nil"/>
              <w:left w:val="nil"/>
              <w:bottom w:val="nil"/>
              <w:right w:val="nil"/>
            </w:tcBorders>
            <w:shd w:val="clear" w:color="auto" w:fill="auto"/>
            <w:noWrap/>
            <w:vAlign w:val="bottom"/>
            <w:hideMark/>
          </w:tcPr>
          <w:p w14:paraId="1C14D976" w14:textId="77777777" w:rsidR="002A4FBC" w:rsidRPr="0085125A" w:rsidRDefault="002A4FBC" w:rsidP="002A4FBC">
            <w:pPr>
              <w:jc w:val="both"/>
              <w:rPr>
                <w:sz w:val="18"/>
                <w:szCs w:val="18"/>
              </w:rPr>
            </w:pPr>
            <w:r w:rsidRPr="0085125A">
              <w:rPr>
                <w:sz w:val="18"/>
                <w:szCs w:val="18"/>
              </w:rPr>
              <w:t>No evidence of serial correlation</w:t>
            </w:r>
          </w:p>
        </w:tc>
      </w:tr>
      <w:tr w:rsidR="002A4FBC" w:rsidRPr="0085125A" w14:paraId="1A0D0B12" w14:textId="77777777" w:rsidTr="002A4FBC">
        <w:trPr>
          <w:trHeight w:val="300"/>
        </w:trPr>
        <w:tc>
          <w:tcPr>
            <w:tcW w:w="2520" w:type="dxa"/>
            <w:tcBorders>
              <w:top w:val="nil"/>
              <w:left w:val="nil"/>
              <w:bottom w:val="nil"/>
              <w:right w:val="nil"/>
            </w:tcBorders>
            <w:shd w:val="clear" w:color="auto" w:fill="auto"/>
            <w:noWrap/>
            <w:vAlign w:val="bottom"/>
            <w:hideMark/>
          </w:tcPr>
          <w:p w14:paraId="37B6D06A" w14:textId="77777777" w:rsidR="002A4FBC" w:rsidRPr="0085125A" w:rsidRDefault="002A4FBC" w:rsidP="002A4FBC">
            <w:pPr>
              <w:jc w:val="both"/>
              <w:rPr>
                <w:sz w:val="18"/>
                <w:szCs w:val="18"/>
              </w:rPr>
            </w:pPr>
            <w:r w:rsidRPr="0085125A">
              <w:rPr>
                <w:sz w:val="18"/>
                <w:szCs w:val="18"/>
              </w:rPr>
              <w:t>White’s Test</w:t>
            </w:r>
          </w:p>
        </w:tc>
        <w:tc>
          <w:tcPr>
            <w:tcW w:w="4240" w:type="dxa"/>
            <w:tcBorders>
              <w:top w:val="nil"/>
              <w:left w:val="nil"/>
              <w:bottom w:val="nil"/>
              <w:right w:val="nil"/>
            </w:tcBorders>
            <w:shd w:val="clear" w:color="auto" w:fill="auto"/>
            <w:noWrap/>
            <w:vAlign w:val="bottom"/>
            <w:hideMark/>
          </w:tcPr>
          <w:p w14:paraId="7B665675" w14:textId="10B25A9F" w:rsidR="002A4FBC" w:rsidRPr="0085125A" w:rsidRDefault="009F70FE" w:rsidP="009F70FE">
            <w:pPr>
              <w:jc w:val="both"/>
              <w:rPr>
                <w:sz w:val="18"/>
                <w:szCs w:val="18"/>
              </w:rPr>
            </w:pPr>
            <w:r w:rsidRPr="0085125A">
              <w:rPr>
                <w:sz w:val="18"/>
                <w:szCs w:val="18"/>
              </w:rPr>
              <w:t>0.4154</w:t>
            </w:r>
          </w:p>
        </w:tc>
        <w:tc>
          <w:tcPr>
            <w:tcW w:w="2780" w:type="dxa"/>
            <w:tcBorders>
              <w:top w:val="nil"/>
              <w:left w:val="nil"/>
              <w:bottom w:val="nil"/>
              <w:right w:val="nil"/>
            </w:tcBorders>
            <w:shd w:val="clear" w:color="auto" w:fill="auto"/>
            <w:noWrap/>
            <w:vAlign w:val="bottom"/>
            <w:hideMark/>
          </w:tcPr>
          <w:p w14:paraId="200FD28C" w14:textId="77777777" w:rsidR="002A4FBC" w:rsidRPr="0085125A" w:rsidRDefault="002A4FBC" w:rsidP="002A4FBC">
            <w:pPr>
              <w:jc w:val="both"/>
              <w:rPr>
                <w:sz w:val="18"/>
                <w:szCs w:val="18"/>
              </w:rPr>
            </w:pPr>
            <w:r w:rsidRPr="0085125A">
              <w:rPr>
                <w:sz w:val="18"/>
                <w:szCs w:val="18"/>
              </w:rPr>
              <w:t>No evidence of heteroscedasticity</w:t>
            </w:r>
          </w:p>
        </w:tc>
      </w:tr>
      <w:tr w:rsidR="002A4FBC" w:rsidRPr="0085125A" w14:paraId="5BA804A7" w14:textId="77777777" w:rsidTr="002A4FBC">
        <w:trPr>
          <w:trHeight w:val="225"/>
        </w:trPr>
        <w:tc>
          <w:tcPr>
            <w:tcW w:w="2520" w:type="dxa"/>
            <w:tcBorders>
              <w:top w:val="nil"/>
              <w:left w:val="nil"/>
              <w:bottom w:val="nil"/>
              <w:right w:val="nil"/>
            </w:tcBorders>
            <w:shd w:val="clear" w:color="auto" w:fill="auto"/>
            <w:noWrap/>
            <w:vAlign w:val="bottom"/>
            <w:hideMark/>
          </w:tcPr>
          <w:p w14:paraId="016E6C96" w14:textId="77777777" w:rsidR="002A4FBC" w:rsidRPr="0085125A" w:rsidRDefault="002A4FBC" w:rsidP="002A4FBC">
            <w:pPr>
              <w:jc w:val="both"/>
              <w:rPr>
                <w:sz w:val="18"/>
                <w:szCs w:val="18"/>
              </w:rPr>
            </w:pPr>
            <w:r w:rsidRPr="0085125A">
              <w:rPr>
                <w:sz w:val="18"/>
                <w:szCs w:val="18"/>
              </w:rPr>
              <w:t>Ramsey RESET test</w:t>
            </w:r>
          </w:p>
        </w:tc>
        <w:tc>
          <w:tcPr>
            <w:tcW w:w="4240" w:type="dxa"/>
            <w:tcBorders>
              <w:top w:val="nil"/>
              <w:left w:val="nil"/>
              <w:bottom w:val="nil"/>
              <w:right w:val="nil"/>
            </w:tcBorders>
            <w:shd w:val="clear" w:color="auto" w:fill="auto"/>
            <w:noWrap/>
            <w:vAlign w:val="bottom"/>
            <w:hideMark/>
          </w:tcPr>
          <w:p w14:paraId="04486F11" w14:textId="640084FE" w:rsidR="002A4FBC" w:rsidRPr="0085125A" w:rsidRDefault="00C5445F" w:rsidP="002A4FBC">
            <w:pPr>
              <w:jc w:val="both"/>
              <w:rPr>
                <w:sz w:val="18"/>
                <w:szCs w:val="18"/>
              </w:rPr>
            </w:pPr>
            <w:r w:rsidRPr="0085125A">
              <w:rPr>
                <w:sz w:val="18"/>
                <w:szCs w:val="18"/>
              </w:rPr>
              <w:t>0.0000</w:t>
            </w:r>
          </w:p>
        </w:tc>
        <w:tc>
          <w:tcPr>
            <w:tcW w:w="2780" w:type="dxa"/>
            <w:tcBorders>
              <w:top w:val="nil"/>
              <w:left w:val="nil"/>
              <w:bottom w:val="nil"/>
              <w:right w:val="nil"/>
            </w:tcBorders>
            <w:shd w:val="clear" w:color="auto" w:fill="auto"/>
            <w:noWrap/>
            <w:vAlign w:val="bottom"/>
            <w:hideMark/>
          </w:tcPr>
          <w:p w14:paraId="69D997F8" w14:textId="77777777" w:rsidR="002A4FBC" w:rsidRPr="0085125A" w:rsidRDefault="002A4FBC" w:rsidP="002A4FBC">
            <w:pPr>
              <w:jc w:val="both"/>
              <w:rPr>
                <w:sz w:val="18"/>
                <w:szCs w:val="18"/>
              </w:rPr>
            </w:pPr>
            <w:r w:rsidRPr="0085125A">
              <w:rPr>
                <w:sz w:val="18"/>
                <w:szCs w:val="18"/>
              </w:rPr>
              <w:t>Model specified correctly</w:t>
            </w:r>
          </w:p>
        </w:tc>
      </w:tr>
      <w:tr w:rsidR="006F3E73" w:rsidRPr="0085125A" w14:paraId="43740E47" w14:textId="77777777" w:rsidTr="006F3E73">
        <w:trPr>
          <w:trHeight w:val="300"/>
        </w:trPr>
        <w:tc>
          <w:tcPr>
            <w:tcW w:w="2520" w:type="dxa"/>
            <w:tcBorders>
              <w:top w:val="nil"/>
              <w:left w:val="nil"/>
              <w:bottom w:val="nil"/>
              <w:right w:val="nil"/>
            </w:tcBorders>
            <w:shd w:val="clear" w:color="auto" w:fill="auto"/>
            <w:noWrap/>
            <w:vAlign w:val="bottom"/>
          </w:tcPr>
          <w:p w14:paraId="2683F9E6" w14:textId="049C8BF1" w:rsidR="006F3E73" w:rsidRPr="0085125A" w:rsidRDefault="006F3E73" w:rsidP="002A4FBC">
            <w:pPr>
              <w:jc w:val="both"/>
              <w:rPr>
                <w:sz w:val="18"/>
                <w:szCs w:val="18"/>
              </w:rPr>
            </w:pPr>
            <w:r w:rsidRPr="0085125A">
              <w:rPr>
                <w:sz w:val="18"/>
                <w:szCs w:val="18"/>
              </w:rPr>
              <w:t>Jarque-Bera test</w:t>
            </w:r>
          </w:p>
        </w:tc>
        <w:tc>
          <w:tcPr>
            <w:tcW w:w="4240" w:type="dxa"/>
            <w:tcBorders>
              <w:top w:val="nil"/>
              <w:left w:val="nil"/>
              <w:bottom w:val="nil"/>
              <w:right w:val="nil"/>
            </w:tcBorders>
            <w:shd w:val="clear" w:color="auto" w:fill="auto"/>
            <w:noWrap/>
            <w:vAlign w:val="bottom"/>
          </w:tcPr>
          <w:p w14:paraId="3016B7EF" w14:textId="28A97450" w:rsidR="006F3E73" w:rsidRPr="0085125A" w:rsidRDefault="006F3E73" w:rsidP="002A4FBC">
            <w:pPr>
              <w:jc w:val="both"/>
              <w:rPr>
                <w:sz w:val="18"/>
                <w:szCs w:val="18"/>
              </w:rPr>
            </w:pPr>
            <w:r w:rsidRPr="0085125A">
              <w:rPr>
                <w:sz w:val="18"/>
                <w:szCs w:val="18"/>
              </w:rPr>
              <w:t>0.451</w:t>
            </w:r>
          </w:p>
        </w:tc>
        <w:tc>
          <w:tcPr>
            <w:tcW w:w="2780" w:type="dxa"/>
            <w:tcBorders>
              <w:top w:val="nil"/>
              <w:left w:val="nil"/>
              <w:bottom w:val="nil"/>
              <w:right w:val="nil"/>
            </w:tcBorders>
            <w:shd w:val="clear" w:color="auto" w:fill="auto"/>
            <w:noWrap/>
            <w:vAlign w:val="bottom"/>
          </w:tcPr>
          <w:p w14:paraId="729B1B52" w14:textId="7D399345" w:rsidR="006F3E73" w:rsidRPr="0085125A" w:rsidRDefault="006F3E73" w:rsidP="002A4FBC">
            <w:pPr>
              <w:jc w:val="both"/>
              <w:rPr>
                <w:sz w:val="18"/>
                <w:szCs w:val="18"/>
              </w:rPr>
            </w:pPr>
            <w:r w:rsidRPr="0085125A">
              <w:rPr>
                <w:sz w:val="18"/>
                <w:szCs w:val="18"/>
              </w:rPr>
              <w:t>Residuals are normally estimated</w:t>
            </w:r>
          </w:p>
        </w:tc>
      </w:tr>
      <w:tr w:rsidR="008843D2" w:rsidRPr="0085125A" w14:paraId="49252675" w14:textId="77777777" w:rsidTr="006F3E73">
        <w:trPr>
          <w:trHeight w:val="300"/>
        </w:trPr>
        <w:tc>
          <w:tcPr>
            <w:tcW w:w="2520" w:type="dxa"/>
            <w:tcBorders>
              <w:top w:val="nil"/>
              <w:left w:val="nil"/>
              <w:bottom w:val="nil"/>
              <w:right w:val="nil"/>
            </w:tcBorders>
            <w:shd w:val="clear" w:color="auto" w:fill="auto"/>
            <w:noWrap/>
            <w:vAlign w:val="bottom"/>
          </w:tcPr>
          <w:p w14:paraId="06AABAE2" w14:textId="77777777" w:rsidR="008843D2" w:rsidRPr="0085125A" w:rsidRDefault="008843D2" w:rsidP="002A4FBC">
            <w:pPr>
              <w:jc w:val="both"/>
              <w:rPr>
                <w:sz w:val="18"/>
                <w:szCs w:val="18"/>
              </w:rPr>
            </w:pPr>
          </w:p>
        </w:tc>
        <w:tc>
          <w:tcPr>
            <w:tcW w:w="4240" w:type="dxa"/>
            <w:tcBorders>
              <w:top w:val="nil"/>
              <w:left w:val="nil"/>
              <w:bottom w:val="nil"/>
              <w:right w:val="nil"/>
            </w:tcBorders>
            <w:shd w:val="clear" w:color="auto" w:fill="auto"/>
            <w:noWrap/>
            <w:vAlign w:val="bottom"/>
          </w:tcPr>
          <w:p w14:paraId="5ED02A2B" w14:textId="77777777" w:rsidR="008843D2" w:rsidRPr="0085125A" w:rsidRDefault="008843D2" w:rsidP="002A4FBC">
            <w:pPr>
              <w:jc w:val="both"/>
              <w:rPr>
                <w:sz w:val="18"/>
                <w:szCs w:val="18"/>
              </w:rPr>
            </w:pPr>
          </w:p>
        </w:tc>
        <w:tc>
          <w:tcPr>
            <w:tcW w:w="2780" w:type="dxa"/>
            <w:tcBorders>
              <w:top w:val="nil"/>
              <w:left w:val="nil"/>
              <w:bottom w:val="nil"/>
              <w:right w:val="nil"/>
            </w:tcBorders>
            <w:shd w:val="clear" w:color="auto" w:fill="auto"/>
            <w:noWrap/>
            <w:vAlign w:val="bottom"/>
          </w:tcPr>
          <w:p w14:paraId="72EEAB0E" w14:textId="77777777" w:rsidR="008843D2" w:rsidRPr="0085125A" w:rsidRDefault="008843D2" w:rsidP="002A4FBC">
            <w:pPr>
              <w:jc w:val="both"/>
              <w:rPr>
                <w:sz w:val="18"/>
                <w:szCs w:val="18"/>
              </w:rPr>
            </w:pPr>
          </w:p>
        </w:tc>
      </w:tr>
    </w:tbl>
    <w:p w14:paraId="561B5409" w14:textId="3C08991F" w:rsidR="002A4FBC" w:rsidRPr="0085125A" w:rsidRDefault="002A4FBC" w:rsidP="002A4FBC">
      <w:pPr>
        <w:autoSpaceDE w:val="0"/>
        <w:autoSpaceDN w:val="0"/>
        <w:adjustRightInd w:val="0"/>
        <w:spacing w:line="360" w:lineRule="auto"/>
        <w:jc w:val="both"/>
      </w:pPr>
      <w:r w:rsidRPr="0085125A">
        <w:t>Several diagnost</w:t>
      </w:r>
      <w:r w:rsidR="00283303">
        <w:t xml:space="preserve">ic tests were conducted and are </w:t>
      </w:r>
      <w:r w:rsidRPr="0085125A">
        <w:t>reported in table 11 such as Breusch–Godfrey serial correlation L</w:t>
      </w:r>
      <w:r w:rsidR="00D279EF" w:rsidRPr="0085125A">
        <w:t xml:space="preserve">M test, </w:t>
      </w:r>
      <w:r w:rsidRPr="0085125A">
        <w:t>White’s Test, Ramsey RESET test, Ramsey RESET test</w:t>
      </w:r>
      <w:r w:rsidR="00D279EF" w:rsidRPr="0085125A">
        <w:t xml:space="preserve"> and jarque bera test</w:t>
      </w:r>
      <w:r w:rsidRPr="0085125A">
        <w:t>. Accordingly, the results of serial correlation</w:t>
      </w:r>
      <w:r w:rsidR="00D279EF" w:rsidRPr="0085125A">
        <w:t xml:space="preserve"> </w:t>
      </w:r>
      <w:r w:rsidRPr="0085125A">
        <w:t xml:space="preserve">(in Table 11) on the long-run causality indicate no autocorrelation among explanatory variables and total final energy consumption (the null hypothesis). For results of </w:t>
      </w:r>
      <w:r w:rsidR="008843D2" w:rsidRPr="0085125A">
        <w:t xml:space="preserve">the </w:t>
      </w:r>
      <w:r w:rsidRPr="0085125A">
        <w:t xml:space="preserve">normality test for distribution of residuals using </w:t>
      </w:r>
      <w:r w:rsidR="00212CEE" w:rsidRPr="0085125A">
        <w:t xml:space="preserve">jarque bera test indicate </w:t>
      </w:r>
      <w:r w:rsidRPr="0085125A">
        <w:t>that the p-value of the dependent values and for the overall model is</w:t>
      </w:r>
      <w:r w:rsidR="00212CEE" w:rsidRPr="0085125A">
        <w:t xml:space="preserve"> greater than </w:t>
      </w:r>
      <w:r w:rsidR="00D76D53" w:rsidRPr="0085125A">
        <w:t>0.05</w:t>
      </w:r>
      <w:r w:rsidR="00A827DD">
        <w:t xml:space="preserve"> </w:t>
      </w:r>
      <w:r w:rsidR="00D76D53" w:rsidRPr="0085125A">
        <w:t xml:space="preserve">significance level. </w:t>
      </w:r>
      <w:r w:rsidRPr="0085125A">
        <w:t xml:space="preserve">Therefore, the null hypothesis is rejected, confirming that the residuals of the model are normally distributed. The most of the errors are both skewed and kurtotic.   </w:t>
      </w:r>
    </w:p>
    <w:p w14:paraId="244F9450" w14:textId="77777777" w:rsidR="007F30FD" w:rsidRPr="0085125A" w:rsidRDefault="007F30FD" w:rsidP="002A4FBC">
      <w:pPr>
        <w:autoSpaceDE w:val="0"/>
        <w:autoSpaceDN w:val="0"/>
        <w:adjustRightInd w:val="0"/>
        <w:spacing w:line="360" w:lineRule="auto"/>
        <w:jc w:val="both"/>
      </w:pPr>
    </w:p>
    <w:p w14:paraId="7E250BC6" w14:textId="77777777" w:rsidR="002A4FBC" w:rsidRPr="00D908AE" w:rsidRDefault="002A4FBC" w:rsidP="002A4FBC">
      <w:pPr>
        <w:autoSpaceDE w:val="0"/>
        <w:autoSpaceDN w:val="0"/>
        <w:adjustRightInd w:val="0"/>
        <w:spacing w:line="360" w:lineRule="auto"/>
        <w:jc w:val="both"/>
        <w:rPr>
          <w:b/>
        </w:rPr>
      </w:pPr>
      <w:r w:rsidRPr="00D908AE">
        <w:rPr>
          <w:b/>
        </w:rPr>
        <w:t>Stability Tests</w:t>
      </w:r>
    </w:p>
    <w:p w14:paraId="5BA44292" w14:textId="7E0D4C28" w:rsidR="0085125A" w:rsidRPr="0085125A" w:rsidRDefault="002A4FBC" w:rsidP="002A4FBC">
      <w:pPr>
        <w:spacing w:after="200" w:line="360" w:lineRule="auto"/>
        <w:jc w:val="both"/>
      </w:pPr>
      <w:r w:rsidRPr="0085125A">
        <w:t xml:space="preserve">To assess the model’s robustness and stability, we </w:t>
      </w:r>
      <w:r w:rsidR="00D908AE" w:rsidRPr="0085125A">
        <w:t>employ the</w:t>
      </w:r>
      <w:r w:rsidRPr="0085125A">
        <w:t xml:space="preserve"> cumulative sum (CUSUM) and the cumulative sum of recursive residual squares of residuals (CUSUMSQ) tests as suggested by (Pesaran et al</w:t>
      </w:r>
      <w:r w:rsidR="00D908AE" w:rsidRPr="0085125A">
        <w:t>, 1997</w:t>
      </w:r>
      <w:r w:rsidRPr="0085125A">
        <w:t>). The results of CUSUM and CUSUMSQ tests are indicated in figure</w:t>
      </w:r>
      <w:r w:rsidR="00F60AB7">
        <w:t xml:space="preserve"> 5 and figure 6. </w:t>
      </w:r>
    </w:p>
    <w:p w14:paraId="10E1DE3F" w14:textId="77777777" w:rsidR="00283303" w:rsidRDefault="00283303" w:rsidP="002A4FBC">
      <w:pPr>
        <w:spacing w:after="200" w:line="360" w:lineRule="auto"/>
        <w:jc w:val="both"/>
        <w:rPr>
          <w:b/>
        </w:rPr>
      </w:pPr>
    </w:p>
    <w:p w14:paraId="25B4A363" w14:textId="22401E94" w:rsidR="002A4FBC" w:rsidRPr="0085125A" w:rsidRDefault="002A4FBC" w:rsidP="002A4FBC">
      <w:pPr>
        <w:spacing w:after="200" w:line="360" w:lineRule="auto"/>
        <w:jc w:val="both"/>
        <w:rPr>
          <w:b/>
        </w:rPr>
      </w:pPr>
      <w:r w:rsidRPr="0085125A">
        <w:rPr>
          <w:b/>
        </w:rPr>
        <w:lastRenderedPageBreak/>
        <w:t>Figure 5.CUSUM and CUSUM square</w:t>
      </w:r>
    </w:p>
    <w:p w14:paraId="1DECD174" w14:textId="77777777" w:rsidR="002A4FBC" w:rsidRPr="0085125A" w:rsidRDefault="002A4FBC" w:rsidP="002A4FBC">
      <w:pPr>
        <w:spacing w:after="200" w:line="360" w:lineRule="auto"/>
        <w:jc w:val="both"/>
      </w:pPr>
      <w:r w:rsidRPr="0085125A">
        <w:rPr>
          <w:noProof/>
        </w:rPr>
        <w:drawing>
          <wp:inline distT="0" distB="0" distL="0" distR="0" wp14:anchorId="0B98E56E" wp14:editId="03A654D4">
            <wp:extent cx="450532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325" cy="2495550"/>
                    </a:xfrm>
                    <a:prstGeom prst="rect">
                      <a:avLst/>
                    </a:prstGeom>
                  </pic:spPr>
                </pic:pic>
              </a:graphicData>
            </a:graphic>
          </wp:inline>
        </w:drawing>
      </w:r>
    </w:p>
    <w:p w14:paraId="212C035E" w14:textId="77777777" w:rsidR="002A4FBC" w:rsidRPr="0085125A" w:rsidRDefault="002A4FBC" w:rsidP="002A4FBC">
      <w:pPr>
        <w:spacing w:after="200" w:line="360" w:lineRule="auto"/>
        <w:jc w:val="both"/>
        <w:rPr>
          <w:b/>
        </w:rPr>
      </w:pPr>
      <w:r w:rsidRPr="0085125A">
        <w:rPr>
          <w:b/>
        </w:rPr>
        <w:t xml:space="preserve">Figure 6: Showing Stability tests for Total Final Energy Consumption and the Macroeconomic Variables </w:t>
      </w:r>
    </w:p>
    <w:p w14:paraId="3089F7C7" w14:textId="77777777" w:rsidR="002A4FBC" w:rsidRPr="0085125A" w:rsidRDefault="002A4FBC" w:rsidP="002A4FBC">
      <w:pPr>
        <w:spacing w:after="200" w:line="360" w:lineRule="auto"/>
        <w:jc w:val="both"/>
      </w:pPr>
      <w:r w:rsidRPr="0085125A">
        <w:rPr>
          <w:noProof/>
        </w:rPr>
        <w:drawing>
          <wp:inline distT="0" distB="0" distL="0" distR="0" wp14:anchorId="1F10EE68" wp14:editId="6796D7C2">
            <wp:extent cx="4629150"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0268" cy="2655583"/>
                    </a:xfrm>
                    <a:prstGeom prst="rect">
                      <a:avLst/>
                    </a:prstGeom>
                  </pic:spPr>
                </pic:pic>
              </a:graphicData>
            </a:graphic>
          </wp:inline>
        </w:drawing>
      </w:r>
    </w:p>
    <w:p w14:paraId="37F363D6" w14:textId="77777777" w:rsidR="002A4FBC" w:rsidRPr="0085125A" w:rsidRDefault="002A4FBC" w:rsidP="002A4FBC">
      <w:pPr>
        <w:spacing w:after="200" w:line="360" w:lineRule="auto"/>
        <w:jc w:val="both"/>
        <w:rPr>
          <w:b/>
        </w:rPr>
      </w:pPr>
      <w:r w:rsidRPr="0085125A">
        <w:t xml:space="preserve">The CUSUM and CUSUM of squares graphs are used to determine whether or not the coefficients are stable (Fig. 6). The blue lines, which indicate that coefficients are constant at the 5% level of significance lie in the middle lower and upper boundaries in the above graphs so that the models used in this study are reliable and suitable for policy making. </w:t>
      </w:r>
    </w:p>
    <w:p w14:paraId="0F49DAB8" w14:textId="77777777" w:rsidR="002A4FBC" w:rsidRPr="0085125A" w:rsidRDefault="002A4FBC" w:rsidP="002A4FBC">
      <w:pPr>
        <w:spacing w:after="200" w:line="360" w:lineRule="auto"/>
        <w:jc w:val="both"/>
        <w:rPr>
          <w:b/>
        </w:rPr>
      </w:pPr>
    </w:p>
    <w:p w14:paraId="1BF98540" w14:textId="77777777" w:rsidR="007F30FD" w:rsidRPr="0085125A" w:rsidRDefault="007F30FD" w:rsidP="002A4FBC">
      <w:pPr>
        <w:spacing w:after="200" w:line="360" w:lineRule="auto"/>
        <w:jc w:val="both"/>
        <w:rPr>
          <w:b/>
        </w:rPr>
      </w:pPr>
    </w:p>
    <w:p w14:paraId="1F586D62" w14:textId="77777777" w:rsidR="002A4FBC" w:rsidRPr="0085125A" w:rsidRDefault="002A4FBC" w:rsidP="002A4FBC">
      <w:pPr>
        <w:spacing w:after="200" w:line="360" w:lineRule="auto"/>
        <w:jc w:val="both"/>
        <w:rPr>
          <w:b/>
        </w:rPr>
      </w:pPr>
      <w:r w:rsidRPr="0085125A">
        <w:rPr>
          <w:b/>
        </w:rPr>
        <w:t>CONCLUSION</w:t>
      </w:r>
    </w:p>
    <w:p w14:paraId="1E690658" w14:textId="77777777" w:rsidR="002A4FBC" w:rsidRPr="0085125A" w:rsidRDefault="002A4FBC" w:rsidP="002A4FBC">
      <w:pPr>
        <w:spacing w:after="200" w:line="360" w:lineRule="auto"/>
        <w:jc w:val="both"/>
        <w:rPr>
          <w:spacing w:val="3"/>
        </w:rPr>
      </w:pPr>
      <w:r w:rsidRPr="0085125A">
        <w:rPr>
          <w:spacing w:val="3"/>
        </w:rPr>
        <w:t>Today, energy access and its use are compelling development priorities for Africa, and Rwanda in particular, as a stimulus for economic growth and development in the region. However, there is existing scarcity of empirical evidence about determinants of energy use in driving economic development. This is coupled with the mixed theoretical and empirical evidence on the relationship between macroeconomic variable and energy consumption. This study bridges the gap by examining causal relationship between energy consumption and the macroeconomic variables in Rwanda over the period 1990-2021. The analytical framework of this study is embedded in the theoretical framework of Kuznets curve, endogenous growth model, Putty-Putty Model and Putty-Clay Model. We employ a nested analytical framework, starting with the OLS as a baseline model. We further conduct causal estimation techniques to examine the short and long-run causal relationship between total final energy consumption and the macroeconomic variables. The results of OLS reveal strong evidence of positive and statistically significant effect of GDP per capita, population growth, urbanization, and industrialization respectively on the total final energy consumption, while FDI adversely affect energy consumption in Rwanda. Further, results of cointegration tests confirm cointegrating relationship between total final energy consumption and the macroeconomic variables. The results of granger causality tests confirm short-run bidirectional causality between population growth, urbanization, and energy usage, and causality runs from trade openness to total final energy usage. However, the results reveal more no evidence of  a causal effect between GDP per capita, industrial growth, foreign direct investment and total final energy consumption in the short-run.</w:t>
      </w:r>
    </w:p>
    <w:p w14:paraId="3E252B38" w14:textId="77777777" w:rsidR="002A4FBC" w:rsidRPr="0085125A" w:rsidRDefault="002A4FBC" w:rsidP="002A4FBC">
      <w:pPr>
        <w:spacing w:after="200" w:line="360" w:lineRule="auto"/>
        <w:jc w:val="both"/>
        <w:rPr>
          <w:spacing w:val="3"/>
        </w:rPr>
      </w:pPr>
      <w:r w:rsidRPr="0085125A">
        <w:rPr>
          <w:spacing w:val="3"/>
        </w:rPr>
        <w:t xml:space="preserve">For the long-run, the results of granger causality tests the results reveal unidirectional long-run causality from trade openness to total final energy consumption. This implies that increasing trade openness through international trade decreases energy consumption through adoption of energy-efficient technologies and hence energy intensity significantly decrease in the long-run. Similarly, a unidirectional causality running from urbanization to the total final energy consumption is detected. Implying that, the existing increasing rate of urbanization with no efficient energy policies have positive and significant effect on total final energy consumption. </w:t>
      </w:r>
      <w:r w:rsidRPr="0085125A">
        <w:rPr>
          <w:spacing w:val="3"/>
        </w:rPr>
        <w:lastRenderedPageBreak/>
        <w:t xml:space="preserve">While for other variables, the results indicate no causal relationship between total final energy consumption and GDP per capita, population growth and industrialization respectively for the period of the study in Rwanda. Similarly, ECM results reveal plausible evidence of short and long-run relationship between total final energy consumption and explanatory variables running from GDP per capita, trade openness, population growth, industrialization, FDI, and urbanization to Total final energy consumption in the short-run. Thus, we conclude based on our findings reiterating indispensable role of energy use in stimulating economic growth and development in Rwanda. However, in its policy strategies of increasing energy access, Rwanda, concurrently and progressively should consider implementing energy efficiency policies and technologies for less and clean energy consumption. Second, a favorable and coordinated institutional framework should strengthened to ensure equity and policy continuity with energy efficiency targets, mostly in the strive for economic growth and increasing urbanization.  </w:t>
      </w:r>
    </w:p>
    <w:p w14:paraId="32F7E799" w14:textId="77777777" w:rsidR="002A4FBC" w:rsidRPr="0085125A" w:rsidRDefault="002A4FBC" w:rsidP="002A4FBC">
      <w:pPr>
        <w:autoSpaceDE w:val="0"/>
        <w:autoSpaceDN w:val="0"/>
        <w:adjustRightInd w:val="0"/>
        <w:rPr>
          <w:rFonts w:ascii="URWPalladioL-Roma" w:hAnsi="URWPalladioL-Roma" w:cs="URWPalladioL-Roma"/>
          <w:sz w:val="20"/>
          <w:szCs w:val="20"/>
        </w:rPr>
      </w:pPr>
    </w:p>
    <w:p w14:paraId="6B7CB3C4" w14:textId="77777777" w:rsidR="002A4FBC" w:rsidRPr="0085125A" w:rsidRDefault="002A4FBC" w:rsidP="002A4FBC">
      <w:pPr>
        <w:spacing w:after="200" w:line="360" w:lineRule="auto"/>
        <w:jc w:val="both"/>
        <w:rPr>
          <w:spacing w:val="3"/>
        </w:rPr>
      </w:pPr>
    </w:p>
    <w:p w14:paraId="2A096894" w14:textId="77777777" w:rsidR="002A4FBC" w:rsidRPr="0085125A" w:rsidRDefault="002A4FBC" w:rsidP="002A4FBC">
      <w:pPr>
        <w:spacing w:after="200" w:line="276" w:lineRule="auto"/>
        <w:jc w:val="both"/>
      </w:pPr>
    </w:p>
    <w:p w14:paraId="45FDD1B4" w14:textId="77777777" w:rsidR="002A4FBC" w:rsidRDefault="002A4FBC"/>
    <w:p w14:paraId="76889AD3" w14:textId="77777777" w:rsidR="00F06C44" w:rsidRDefault="00F06C44"/>
    <w:p w14:paraId="71A89439" w14:textId="77777777" w:rsidR="00F06C44" w:rsidRDefault="00F06C44"/>
    <w:p w14:paraId="6B4B4D69" w14:textId="77777777" w:rsidR="00F06C44" w:rsidRDefault="00F06C44"/>
    <w:p w14:paraId="42E594FA" w14:textId="77777777" w:rsidR="00F06C44" w:rsidRDefault="00F06C44"/>
    <w:p w14:paraId="7C9120F2" w14:textId="77777777" w:rsidR="00F06C44" w:rsidRDefault="00F06C44"/>
    <w:p w14:paraId="66A9D3DB" w14:textId="77777777" w:rsidR="00F06C44" w:rsidRDefault="00F06C44"/>
    <w:p w14:paraId="1C3160C9" w14:textId="77777777" w:rsidR="00F06C44" w:rsidRDefault="00F06C44"/>
    <w:p w14:paraId="2D5ACBE6" w14:textId="77777777" w:rsidR="00F06C44" w:rsidRDefault="00F06C44"/>
    <w:p w14:paraId="0F4CF7F8" w14:textId="77777777" w:rsidR="00F06C44" w:rsidRDefault="00F06C44"/>
    <w:p w14:paraId="16D1AE87" w14:textId="77777777" w:rsidR="00F06C44" w:rsidRDefault="00F06C44"/>
    <w:p w14:paraId="052124D3" w14:textId="77777777" w:rsidR="00F06C44" w:rsidRDefault="00F06C44"/>
    <w:p w14:paraId="638E5378" w14:textId="77777777" w:rsidR="00F06C44" w:rsidRDefault="00F06C44"/>
    <w:p w14:paraId="662511DC" w14:textId="77777777" w:rsidR="00F06C44" w:rsidRDefault="00F06C44"/>
    <w:p w14:paraId="372B1B02" w14:textId="77777777" w:rsidR="00F06C44" w:rsidRDefault="00F06C44"/>
    <w:p w14:paraId="0BB7FFC2" w14:textId="77777777" w:rsidR="00F06C44" w:rsidRDefault="00F06C44"/>
    <w:p w14:paraId="2CDB7BC3" w14:textId="77777777" w:rsidR="00F06C44" w:rsidRDefault="00F06C44"/>
    <w:p w14:paraId="7B27A9D9" w14:textId="77777777" w:rsidR="00F06C44" w:rsidRDefault="00F06C44"/>
    <w:p w14:paraId="3BABEB02" w14:textId="77777777" w:rsidR="00F06C44" w:rsidRDefault="00F06C44"/>
    <w:p w14:paraId="4D638B42" w14:textId="77777777" w:rsidR="00F06C44" w:rsidRDefault="00F06C44"/>
    <w:p w14:paraId="7EE25384" w14:textId="77777777" w:rsidR="00F06C44" w:rsidRDefault="00F06C44"/>
    <w:p w14:paraId="51167151" w14:textId="77777777" w:rsidR="00F06C44" w:rsidRDefault="00F06C44" w:rsidP="00F06C44"/>
    <w:p w14:paraId="2A5FDD4E" w14:textId="77777777" w:rsidR="00622BCE" w:rsidRPr="00E84B3A" w:rsidRDefault="00622BCE" w:rsidP="00F06C44">
      <w:pPr>
        <w:rPr>
          <w:color w:val="222222"/>
          <w:shd w:val="clear" w:color="auto" w:fill="FFFFFF"/>
        </w:rPr>
      </w:pPr>
    </w:p>
    <w:p w14:paraId="6A899C90" w14:textId="77777777" w:rsidR="00F0265F" w:rsidRDefault="00F0265F" w:rsidP="00F06C44">
      <w:pPr>
        <w:rPr>
          <w:u w:val="single"/>
        </w:rPr>
      </w:pPr>
    </w:p>
    <w:p w14:paraId="65060B63" w14:textId="00662AEE" w:rsidR="00F06C44" w:rsidRPr="00E84B3A" w:rsidRDefault="00F06C44" w:rsidP="00F06C44">
      <w:pPr>
        <w:rPr>
          <w:u w:val="single"/>
        </w:rPr>
      </w:pPr>
      <w:r w:rsidRPr="00E84B3A">
        <w:rPr>
          <w:u w:val="single"/>
        </w:rPr>
        <w:t>REFERANCES</w:t>
      </w:r>
    </w:p>
    <w:p w14:paraId="33EFC270" w14:textId="77777777" w:rsidR="00F06C44" w:rsidRPr="00E84B3A" w:rsidRDefault="00F06C44" w:rsidP="00F06C44">
      <w:pPr>
        <w:rPr>
          <w:color w:val="222222"/>
          <w:shd w:val="clear" w:color="auto" w:fill="FFFFFF"/>
        </w:rPr>
      </w:pPr>
    </w:p>
    <w:p w14:paraId="0AEEB878" w14:textId="77777777" w:rsidR="00852B59" w:rsidRDefault="00F06C44" w:rsidP="00852B59">
      <w:pPr>
        <w:spacing w:line="360" w:lineRule="auto"/>
        <w:rPr>
          <w:color w:val="222222"/>
          <w:shd w:val="clear" w:color="auto" w:fill="FFFFFF"/>
        </w:rPr>
      </w:pPr>
      <w:r w:rsidRPr="00E84B3A">
        <w:rPr>
          <w:color w:val="222222"/>
          <w:shd w:val="clear" w:color="auto" w:fill="FFFFFF"/>
        </w:rPr>
        <w:t xml:space="preserve">Akinlo, A. E. (2009). Electricity consumption and economic growth in Nigeria: Evidence from </w:t>
      </w:r>
    </w:p>
    <w:p w14:paraId="100304A1" w14:textId="51D7EFE6" w:rsidR="00F06C44" w:rsidRDefault="00F06C44" w:rsidP="00852B59">
      <w:pPr>
        <w:spacing w:line="360" w:lineRule="auto"/>
        <w:ind w:left="720"/>
        <w:rPr>
          <w:color w:val="222222"/>
          <w:shd w:val="clear" w:color="auto" w:fill="FFFFFF"/>
        </w:rPr>
      </w:pPr>
      <w:r w:rsidRPr="00E84B3A">
        <w:rPr>
          <w:color w:val="222222"/>
          <w:shd w:val="clear" w:color="auto" w:fill="FFFFFF"/>
        </w:rPr>
        <w:t>cointegration and co-feature analysis. </w:t>
      </w:r>
      <w:r w:rsidRPr="00E84B3A">
        <w:rPr>
          <w:i/>
          <w:iCs/>
          <w:color w:val="222222"/>
          <w:shd w:val="clear" w:color="auto" w:fill="FFFFFF"/>
        </w:rPr>
        <w:t>Journal of Policy Modeling</w:t>
      </w:r>
      <w:r w:rsidRPr="00E84B3A">
        <w:rPr>
          <w:color w:val="222222"/>
          <w:shd w:val="clear" w:color="auto" w:fill="FFFFFF"/>
        </w:rPr>
        <w:t>, </w:t>
      </w:r>
      <w:r w:rsidRPr="00E84B3A">
        <w:rPr>
          <w:i/>
          <w:iCs/>
          <w:color w:val="222222"/>
          <w:shd w:val="clear" w:color="auto" w:fill="FFFFFF"/>
        </w:rPr>
        <w:t>31</w:t>
      </w:r>
      <w:r w:rsidRPr="00E84B3A">
        <w:rPr>
          <w:color w:val="222222"/>
          <w:shd w:val="clear" w:color="auto" w:fill="FFFFFF"/>
        </w:rPr>
        <w:t>(5), 681-693.</w:t>
      </w:r>
    </w:p>
    <w:p w14:paraId="3C08419B" w14:textId="77777777" w:rsidR="00852B59" w:rsidRDefault="00F06C44" w:rsidP="00852B59">
      <w:pPr>
        <w:spacing w:line="360" w:lineRule="auto"/>
        <w:rPr>
          <w:color w:val="222222"/>
          <w:shd w:val="clear" w:color="auto" w:fill="FFFFFF"/>
        </w:rPr>
      </w:pPr>
      <w:r w:rsidRPr="00E84B3A">
        <w:rPr>
          <w:color w:val="222222"/>
          <w:shd w:val="clear" w:color="auto" w:fill="FFFFFF"/>
        </w:rPr>
        <w:t xml:space="preserve">Alkhateeb, T. T. Y., &amp; Mahmood, H. (2019). Energy consumption and trade openness nexus in </w:t>
      </w:r>
    </w:p>
    <w:p w14:paraId="5ED541F8" w14:textId="623590FE" w:rsidR="00F06C44" w:rsidRDefault="00F06C44" w:rsidP="00852B59">
      <w:pPr>
        <w:spacing w:line="360" w:lineRule="auto"/>
        <w:ind w:left="720"/>
        <w:rPr>
          <w:color w:val="222222"/>
          <w:shd w:val="clear" w:color="auto" w:fill="FFFFFF"/>
        </w:rPr>
      </w:pPr>
      <w:r w:rsidRPr="00E84B3A">
        <w:rPr>
          <w:color w:val="222222"/>
          <w:shd w:val="clear" w:color="auto" w:fill="FFFFFF"/>
        </w:rPr>
        <w:t>Egypt: Asymmetry analysis. </w:t>
      </w:r>
      <w:r w:rsidRPr="00E84B3A">
        <w:rPr>
          <w:i/>
          <w:iCs/>
          <w:color w:val="222222"/>
          <w:shd w:val="clear" w:color="auto" w:fill="FFFFFF"/>
        </w:rPr>
        <w:t>Energies</w:t>
      </w:r>
      <w:r w:rsidRPr="00E84B3A">
        <w:rPr>
          <w:color w:val="222222"/>
          <w:shd w:val="clear" w:color="auto" w:fill="FFFFFF"/>
        </w:rPr>
        <w:t>, </w:t>
      </w:r>
      <w:r w:rsidRPr="00E84B3A">
        <w:rPr>
          <w:i/>
          <w:iCs/>
          <w:color w:val="222222"/>
          <w:shd w:val="clear" w:color="auto" w:fill="FFFFFF"/>
        </w:rPr>
        <w:t>12</w:t>
      </w:r>
      <w:r w:rsidRPr="00E84B3A">
        <w:rPr>
          <w:color w:val="222222"/>
          <w:shd w:val="clear" w:color="auto" w:fill="FFFFFF"/>
        </w:rPr>
        <w:t>(10), 2018.</w:t>
      </w:r>
    </w:p>
    <w:p w14:paraId="1BBD6973" w14:textId="77777777" w:rsidR="00852B59" w:rsidRDefault="00F06C44" w:rsidP="00852B59">
      <w:pPr>
        <w:spacing w:line="360" w:lineRule="auto"/>
      </w:pPr>
      <w:r w:rsidRPr="00E84B3A">
        <w:t xml:space="preserve">ANNUAL ECONOMIC REPORT FISCAL YEAR 2017/2018 </w:t>
      </w:r>
      <w:r w:rsidR="00852B59">
        <w:t xml:space="preserve">Retrieved on 10 august 2022 </w:t>
      </w:r>
    </w:p>
    <w:p w14:paraId="3650AAC0" w14:textId="51F76A7F" w:rsidR="00F06C44" w:rsidRDefault="00326B0D" w:rsidP="00852B59">
      <w:pPr>
        <w:spacing w:line="360" w:lineRule="auto"/>
        <w:ind w:left="720"/>
        <w:rPr>
          <w:rStyle w:val="Hyperlink"/>
          <w:rFonts w:eastAsiaTheme="majorEastAsia"/>
        </w:rPr>
      </w:pPr>
      <w:hyperlink r:id="rId17" w:history="1">
        <w:r w:rsidR="00F06C44" w:rsidRPr="00E84B3A">
          <w:rPr>
            <w:rStyle w:val="Hyperlink"/>
            <w:rFonts w:eastAsiaTheme="majorEastAsia"/>
          </w:rPr>
          <w:t>https://www.minecofin.gov.rw/index.php?eID=dumpFile&amp;t=f&amp;f=12446&amp;token=61d7171de98c6fb6b8369166a481556db66930ad</w:t>
        </w:r>
      </w:hyperlink>
    </w:p>
    <w:p w14:paraId="3F5918DC" w14:textId="77777777" w:rsidR="00852B59" w:rsidRDefault="00F06C44" w:rsidP="00F06C44">
      <w:pPr>
        <w:spacing w:line="360" w:lineRule="auto"/>
      </w:pPr>
      <w:r w:rsidRPr="00E84B3A">
        <w:t xml:space="preserve">Arnold, J.E.M., Kohlin, G. &amp; Persson, R. (2006). Woodfuels, livelihoods and policy </w:t>
      </w:r>
    </w:p>
    <w:p w14:paraId="4FB3518E" w14:textId="2590CEC5" w:rsidR="00F06C44" w:rsidRPr="00E84B3A" w:rsidRDefault="00F06C44" w:rsidP="00852B59">
      <w:pPr>
        <w:spacing w:line="360" w:lineRule="auto"/>
        <w:ind w:left="720"/>
      </w:pPr>
      <w:r w:rsidRPr="00E84B3A">
        <w:t>interventions: Changing perspectives. World Development, 34 (3), 596-611</w:t>
      </w:r>
    </w:p>
    <w:p w14:paraId="2121215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Attiaoui, I., Toumi, H., Ammouri, B., &amp; Gargouri, I. (2017). Causality links among renewable </w:t>
      </w:r>
    </w:p>
    <w:p w14:paraId="2D4C8B34" w14:textId="73DCB12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energy consumption, CO2 emissions, and economic growth in Africa: evidence from a panel ARDL-PMG approach. </w:t>
      </w:r>
      <w:r w:rsidRPr="00E84B3A">
        <w:rPr>
          <w:i/>
          <w:iCs/>
          <w:color w:val="222222"/>
          <w:shd w:val="clear" w:color="auto" w:fill="FFFFFF"/>
        </w:rPr>
        <w:t>Environmental science and pollution research</w:t>
      </w:r>
      <w:r w:rsidRPr="00E84B3A">
        <w:rPr>
          <w:color w:val="222222"/>
          <w:shd w:val="clear" w:color="auto" w:fill="FFFFFF"/>
        </w:rPr>
        <w:t>, </w:t>
      </w:r>
      <w:r w:rsidRPr="00E84B3A">
        <w:rPr>
          <w:i/>
          <w:iCs/>
          <w:color w:val="222222"/>
          <w:shd w:val="clear" w:color="auto" w:fill="FFFFFF"/>
        </w:rPr>
        <w:t>24</w:t>
      </w:r>
      <w:r w:rsidR="00852B59">
        <w:rPr>
          <w:color w:val="222222"/>
          <w:shd w:val="clear" w:color="auto" w:fill="FFFFFF"/>
        </w:rPr>
        <w:t xml:space="preserve">(14), </w:t>
      </w:r>
      <w:r w:rsidRPr="00E84B3A">
        <w:rPr>
          <w:color w:val="222222"/>
          <w:shd w:val="clear" w:color="auto" w:fill="FFFFFF"/>
        </w:rPr>
        <w:t>13036-13048.</w:t>
      </w:r>
    </w:p>
    <w:p w14:paraId="70174639"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Ayres, R. U., &amp; Van Den Bergh, J. C. (2005). A theory of economic growth with material/energy </w:t>
      </w:r>
    </w:p>
    <w:p w14:paraId="6C8522D4" w14:textId="63708E7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resources and dematerialization: Interaction of three growth mechanisms. </w:t>
      </w:r>
      <w:r w:rsidRPr="00E84B3A">
        <w:rPr>
          <w:i/>
          <w:iCs/>
          <w:color w:val="222222"/>
          <w:shd w:val="clear" w:color="auto" w:fill="FFFFFF"/>
        </w:rPr>
        <w:t>Ecological Economics</w:t>
      </w:r>
      <w:r w:rsidRPr="00E84B3A">
        <w:rPr>
          <w:color w:val="222222"/>
          <w:shd w:val="clear" w:color="auto" w:fill="FFFFFF"/>
        </w:rPr>
        <w:t>, </w:t>
      </w:r>
      <w:r w:rsidRPr="00E84B3A">
        <w:rPr>
          <w:i/>
          <w:iCs/>
          <w:color w:val="222222"/>
          <w:shd w:val="clear" w:color="auto" w:fill="FFFFFF"/>
        </w:rPr>
        <w:t>55</w:t>
      </w:r>
      <w:r w:rsidRPr="00E84B3A">
        <w:rPr>
          <w:color w:val="222222"/>
          <w:shd w:val="clear" w:color="auto" w:fill="FFFFFF"/>
        </w:rPr>
        <w:t>(1), 96-118.</w:t>
      </w:r>
    </w:p>
    <w:p w14:paraId="29831FA6"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Balaguer, J., &amp; Cantavella, M. (2018). The role of education in the Environmental Kuznets Curve. </w:t>
      </w:r>
    </w:p>
    <w:p w14:paraId="4A961028" w14:textId="0425643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Evidence from Australian data.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70</w:t>
      </w:r>
      <w:r w:rsidRPr="00E84B3A">
        <w:rPr>
          <w:color w:val="222222"/>
          <w:shd w:val="clear" w:color="auto" w:fill="FFFFFF"/>
        </w:rPr>
        <w:t>, 289-296.</w:t>
      </w:r>
    </w:p>
    <w:p w14:paraId="6B2FB158"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Banerjee, A., Dolado, J., &amp; Mestre, R. (1998). Error‐correction mechanism tests for cointegration </w:t>
      </w:r>
    </w:p>
    <w:p w14:paraId="79F6B328" w14:textId="7C0F1F46"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in a single‐equation framework. </w:t>
      </w:r>
      <w:r w:rsidRPr="00E84B3A">
        <w:rPr>
          <w:i/>
          <w:iCs/>
          <w:color w:val="222222"/>
          <w:shd w:val="clear" w:color="auto" w:fill="FFFFFF"/>
        </w:rPr>
        <w:t>Journal of time series analysis</w:t>
      </w:r>
      <w:r w:rsidRPr="00E84B3A">
        <w:rPr>
          <w:color w:val="222222"/>
          <w:shd w:val="clear" w:color="auto" w:fill="FFFFFF"/>
        </w:rPr>
        <w:t>, </w:t>
      </w:r>
      <w:r w:rsidRPr="00E84B3A">
        <w:rPr>
          <w:i/>
          <w:iCs/>
          <w:color w:val="222222"/>
          <w:shd w:val="clear" w:color="auto" w:fill="FFFFFF"/>
        </w:rPr>
        <w:t>19</w:t>
      </w:r>
      <w:r w:rsidRPr="00E84B3A">
        <w:rPr>
          <w:color w:val="222222"/>
          <w:shd w:val="clear" w:color="auto" w:fill="FFFFFF"/>
        </w:rPr>
        <w:t>(3), 267-283.</w:t>
      </w:r>
    </w:p>
    <w:p w14:paraId="4669B94E" w14:textId="77777777" w:rsidR="00852B59" w:rsidRDefault="00F06C44" w:rsidP="00852B59">
      <w:pPr>
        <w:spacing w:line="360" w:lineRule="auto"/>
        <w:jc w:val="both"/>
      </w:pPr>
      <w:r w:rsidRPr="00E84B3A">
        <w:t xml:space="preserve">Baptist S, Hepburn C. 2013 Intermediate inputs and economic productivity. Phil. Trans. R. Soc. A </w:t>
      </w:r>
    </w:p>
    <w:p w14:paraId="08440390" w14:textId="0A8FB6F0" w:rsidR="00F06C44" w:rsidRPr="00E84B3A" w:rsidRDefault="00F06C44" w:rsidP="00852B59">
      <w:pPr>
        <w:spacing w:line="360" w:lineRule="auto"/>
        <w:ind w:left="720"/>
        <w:jc w:val="both"/>
      </w:pPr>
      <w:r w:rsidRPr="00E84B3A">
        <w:t>371, 20110565. (doi:10.1098/rsta.2011.0565)</w:t>
      </w:r>
    </w:p>
    <w:p w14:paraId="76FC4536"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Bekhet, H. A., &amp; bt Othman, N. S. (2014). Long-Run Elasticities of Electricity Consumption, FDI, </w:t>
      </w:r>
    </w:p>
    <w:p w14:paraId="344972DF" w14:textId="75F5EFC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Export and GDP in Malaysia. </w:t>
      </w:r>
      <w:r w:rsidRPr="00E84B3A">
        <w:rPr>
          <w:i/>
          <w:iCs/>
          <w:color w:val="222222"/>
          <w:shd w:val="clear" w:color="auto" w:fill="FFFFFF"/>
        </w:rPr>
        <w:t>International Journal of Economics and Finance</w:t>
      </w:r>
      <w:r w:rsidRPr="00E84B3A">
        <w:rPr>
          <w:color w:val="222222"/>
          <w:shd w:val="clear" w:color="auto" w:fill="FFFFFF"/>
        </w:rPr>
        <w:t>, </w:t>
      </w:r>
      <w:r w:rsidRPr="00E84B3A">
        <w:rPr>
          <w:i/>
          <w:iCs/>
          <w:color w:val="222222"/>
          <w:shd w:val="clear" w:color="auto" w:fill="FFFFFF"/>
        </w:rPr>
        <w:t>6</w:t>
      </w:r>
      <w:r w:rsidRPr="00E84B3A">
        <w:rPr>
          <w:color w:val="222222"/>
          <w:shd w:val="clear" w:color="auto" w:fill="FFFFFF"/>
        </w:rPr>
        <w:t>(8).</w:t>
      </w:r>
    </w:p>
    <w:p w14:paraId="5364D92D"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Bekhet, H. A., &amp; Othman, N. S. (2014). Long-run elasticities of electricity consumption, FDI, </w:t>
      </w:r>
    </w:p>
    <w:p w14:paraId="00C89A66" w14:textId="5039C5C4"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export and GDP in Malaysia. </w:t>
      </w:r>
      <w:r w:rsidRPr="00E84B3A">
        <w:rPr>
          <w:i/>
          <w:iCs/>
          <w:color w:val="222222"/>
          <w:shd w:val="clear" w:color="auto" w:fill="FFFFFF"/>
        </w:rPr>
        <w:t>International Journal of Economics and Finance</w:t>
      </w:r>
      <w:r w:rsidRPr="00E84B3A">
        <w:rPr>
          <w:color w:val="222222"/>
          <w:shd w:val="clear" w:color="auto" w:fill="FFFFFF"/>
        </w:rPr>
        <w:t>, </w:t>
      </w:r>
      <w:r w:rsidRPr="00E84B3A">
        <w:rPr>
          <w:i/>
          <w:iCs/>
          <w:color w:val="222222"/>
          <w:shd w:val="clear" w:color="auto" w:fill="FFFFFF"/>
        </w:rPr>
        <w:t>6</w:t>
      </w:r>
      <w:r w:rsidRPr="00E84B3A">
        <w:rPr>
          <w:color w:val="222222"/>
          <w:shd w:val="clear" w:color="auto" w:fill="FFFFFF"/>
        </w:rPr>
        <w:t>(8), 78-90.</w:t>
      </w:r>
    </w:p>
    <w:p w14:paraId="2C998C0A"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Berndt, E. R., &amp; Morrison, C. J. (1981). Capacity utilization measures: underlying economic </w:t>
      </w:r>
    </w:p>
    <w:p w14:paraId="2AD7F62D" w14:textId="3FDD6C89"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theory and an alternative approach. </w:t>
      </w:r>
      <w:r w:rsidRPr="00E84B3A">
        <w:rPr>
          <w:i/>
          <w:iCs/>
          <w:color w:val="222222"/>
          <w:shd w:val="clear" w:color="auto" w:fill="FFFFFF"/>
        </w:rPr>
        <w:t>The American Economic Review</w:t>
      </w:r>
      <w:r w:rsidRPr="00E84B3A">
        <w:rPr>
          <w:color w:val="222222"/>
          <w:shd w:val="clear" w:color="auto" w:fill="FFFFFF"/>
        </w:rPr>
        <w:t>, </w:t>
      </w:r>
      <w:r w:rsidRPr="00E84B3A">
        <w:rPr>
          <w:i/>
          <w:iCs/>
          <w:color w:val="222222"/>
          <w:shd w:val="clear" w:color="auto" w:fill="FFFFFF"/>
        </w:rPr>
        <w:t>71</w:t>
      </w:r>
      <w:r w:rsidRPr="00E84B3A">
        <w:rPr>
          <w:color w:val="222222"/>
          <w:shd w:val="clear" w:color="auto" w:fill="FFFFFF"/>
        </w:rPr>
        <w:t>(2), 48-52.</w:t>
      </w:r>
    </w:p>
    <w:p w14:paraId="1754C950" w14:textId="77777777" w:rsidR="00852B59" w:rsidRDefault="00F06C44" w:rsidP="00852B59">
      <w:pPr>
        <w:spacing w:line="360" w:lineRule="auto"/>
        <w:jc w:val="both"/>
        <w:rPr>
          <w:color w:val="222222"/>
          <w:shd w:val="clear" w:color="auto" w:fill="FFFFFF"/>
        </w:rPr>
      </w:pPr>
      <w:r w:rsidRPr="00E84B3A">
        <w:rPr>
          <w:color w:val="222222"/>
          <w:shd w:val="clear" w:color="auto" w:fill="FFFFFF"/>
        </w:rPr>
        <w:lastRenderedPageBreak/>
        <w:t>Berndt, E. R., &amp; Wood, D. O. (1979). Engineering and econometric interpretations of energy-</w:t>
      </w:r>
    </w:p>
    <w:p w14:paraId="3A0BDBE4" w14:textId="7FD4873A"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capital complementarity. </w:t>
      </w:r>
      <w:r w:rsidRPr="00E84B3A">
        <w:rPr>
          <w:i/>
          <w:iCs/>
          <w:color w:val="222222"/>
          <w:shd w:val="clear" w:color="auto" w:fill="FFFFFF"/>
        </w:rPr>
        <w:t>The American Economic Review</w:t>
      </w:r>
      <w:r w:rsidRPr="00E84B3A">
        <w:rPr>
          <w:color w:val="222222"/>
          <w:shd w:val="clear" w:color="auto" w:fill="FFFFFF"/>
        </w:rPr>
        <w:t>, </w:t>
      </w:r>
      <w:r w:rsidRPr="00E84B3A">
        <w:rPr>
          <w:i/>
          <w:iCs/>
          <w:color w:val="222222"/>
          <w:shd w:val="clear" w:color="auto" w:fill="FFFFFF"/>
        </w:rPr>
        <w:t>69</w:t>
      </w:r>
      <w:r w:rsidRPr="00E84B3A">
        <w:rPr>
          <w:color w:val="222222"/>
          <w:shd w:val="clear" w:color="auto" w:fill="FFFFFF"/>
        </w:rPr>
        <w:t>(3), 342-354.</w:t>
      </w:r>
    </w:p>
    <w:p w14:paraId="37B5BA9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Burrough-Boenisch, J. (2014). Access to energy in Rwanda: impact evaluation of activities </w:t>
      </w:r>
    </w:p>
    <w:p w14:paraId="73FF7A00" w14:textId="5915E316"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supported by the Dutch Promoting Renewable Energy Programme</w:t>
      </w:r>
    </w:p>
    <w:p w14:paraId="62275CA8" w14:textId="77777777" w:rsidR="00852B59" w:rsidRDefault="00F06C44" w:rsidP="00852B59">
      <w:pPr>
        <w:spacing w:line="360" w:lineRule="auto"/>
        <w:jc w:val="both"/>
      </w:pPr>
      <w:r w:rsidRPr="00E84B3A">
        <w:t xml:space="preserve">business-sweeden.(2016). Opportunities Within the Energy Sector in Rwanda. Nairobi: The </w:t>
      </w:r>
    </w:p>
    <w:p w14:paraId="2AF85520" w14:textId="44F0BA49" w:rsidR="00F06C44" w:rsidRPr="00E84B3A" w:rsidRDefault="00F06C44" w:rsidP="00852B59">
      <w:pPr>
        <w:spacing w:line="360" w:lineRule="auto"/>
        <w:ind w:left="720"/>
        <w:jc w:val="both"/>
      </w:pPr>
      <w:r w:rsidRPr="00E84B3A">
        <w:t>Sweden Trade and Invest Council .Business Sweden in Kenya. 1–9.</w:t>
      </w:r>
    </w:p>
    <w:p w14:paraId="65CB2EE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Churchill, S. A., Inekwe, J., Ivanovski, K., &amp; Smyth, R. (2019). Dynamics of oil price, precious </w:t>
      </w:r>
    </w:p>
    <w:p w14:paraId="13E681AC" w14:textId="2736363B"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metal prices and the exchange rate in the long-run.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84</w:t>
      </w:r>
      <w:r w:rsidRPr="00E84B3A">
        <w:rPr>
          <w:color w:val="222222"/>
          <w:shd w:val="clear" w:color="auto" w:fill="FFFFFF"/>
        </w:rPr>
        <w:t>, 104508.</w:t>
      </w:r>
    </w:p>
    <w:p w14:paraId="0D095D2F" w14:textId="45DCBFE0" w:rsidR="00F06C44" w:rsidRPr="00E84B3A" w:rsidRDefault="00852B59" w:rsidP="00852B59">
      <w:pPr>
        <w:spacing w:line="360" w:lineRule="auto"/>
        <w:jc w:val="both"/>
      </w:pPr>
      <w:r>
        <w:t xml:space="preserve">Dahl, C.A. (2008), </w:t>
      </w:r>
      <w:r w:rsidR="00F06C44" w:rsidRPr="00E84B3A">
        <w:t>Međunarodna tržišta energije: Cijene, politike i profiti, Kigen d.o.o., Zagreb.</w:t>
      </w:r>
    </w:p>
    <w:p w14:paraId="472697E3"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Dickey, D. A., &amp; Fuller, W. A. (1979). Distribution of the estimators for autoregressive time series </w:t>
      </w:r>
    </w:p>
    <w:p w14:paraId="3B48824E" w14:textId="0E50A71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with a unit root. </w:t>
      </w:r>
      <w:r w:rsidRPr="00E84B3A">
        <w:rPr>
          <w:i/>
          <w:iCs/>
          <w:color w:val="222222"/>
          <w:shd w:val="clear" w:color="auto" w:fill="FFFFFF"/>
        </w:rPr>
        <w:t>Journal of the American statistical association</w:t>
      </w:r>
      <w:r w:rsidRPr="00E84B3A">
        <w:rPr>
          <w:color w:val="222222"/>
          <w:shd w:val="clear" w:color="auto" w:fill="FFFFFF"/>
        </w:rPr>
        <w:t>, </w:t>
      </w:r>
      <w:r w:rsidRPr="00E84B3A">
        <w:rPr>
          <w:i/>
          <w:iCs/>
          <w:color w:val="222222"/>
          <w:shd w:val="clear" w:color="auto" w:fill="FFFFFF"/>
        </w:rPr>
        <w:t>74</w:t>
      </w:r>
      <w:r w:rsidRPr="00E84B3A">
        <w:rPr>
          <w:color w:val="222222"/>
          <w:shd w:val="clear" w:color="auto" w:fill="FFFFFF"/>
        </w:rPr>
        <w:t>(366a), 427-431.</w:t>
      </w:r>
    </w:p>
    <w:p w14:paraId="7DF38FA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Enders, J. (2004). Higher education, internationalisation, and the nation-state: Recent </w:t>
      </w:r>
    </w:p>
    <w:p w14:paraId="67BBC6F2" w14:textId="518BDEEA"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developments and challenges to governance theory. </w:t>
      </w:r>
      <w:r w:rsidRPr="00E84B3A">
        <w:rPr>
          <w:i/>
          <w:iCs/>
          <w:color w:val="222222"/>
          <w:shd w:val="clear" w:color="auto" w:fill="FFFFFF"/>
        </w:rPr>
        <w:t>Higher education</w:t>
      </w:r>
      <w:r w:rsidRPr="00E84B3A">
        <w:rPr>
          <w:color w:val="222222"/>
          <w:shd w:val="clear" w:color="auto" w:fill="FFFFFF"/>
        </w:rPr>
        <w:t>, </w:t>
      </w:r>
      <w:r w:rsidRPr="00E84B3A">
        <w:rPr>
          <w:i/>
          <w:iCs/>
          <w:color w:val="222222"/>
          <w:shd w:val="clear" w:color="auto" w:fill="FFFFFF"/>
        </w:rPr>
        <w:t>47</w:t>
      </w:r>
      <w:r w:rsidRPr="00E84B3A">
        <w:rPr>
          <w:color w:val="222222"/>
          <w:shd w:val="clear" w:color="auto" w:fill="FFFFFF"/>
        </w:rPr>
        <w:t>(3), 361-382.</w:t>
      </w:r>
    </w:p>
    <w:p w14:paraId="5A58EC93"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Engle, R. F., &amp; Granger, C. W. (1987). Co-integration and error correction: representation, </w:t>
      </w:r>
    </w:p>
    <w:p w14:paraId="29CC1F3C" w14:textId="46F5AF7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estimation, and testing. </w:t>
      </w:r>
      <w:r w:rsidRPr="00E84B3A">
        <w:rPr>
          <w:i/>
          <w:iCs/>
          <w:color w:val="222222"/>
          <w:shd w:val="clear" w:color="auto" w:fill="FFFFFF"/>
        </w:rPr>
        <w:t>Econometrica: journal of the Econometric Society</w:t>
      </w:r>
      <w:r w:rsidRPr="00E84B3A">
        <w:rPr>
          <w:color w:val="222222"/>
          <w:shd w:val="clear" w:color="auto" w:fill="FFFFFF"/>
        </w:rPr>
        <w:t>, 251-276.</w:t>
      </w:r>
    </w:p>
    <w:p w14:paraId="6352ACAF" w14:textId="77777777" w:rsidR="00852B59" w:rsidRDefault="00F06C44" w:rsidP="00852B59">
      <w:pPr>
        <w:spacing w:line="360" w:lineRule="auto"/>
        <w:jc w:val="both"/>
      </w:pPr>
      <w:r w:rsidRPr="00E84B3A">
        <w:t xml:space="preserve">Ergun, S. J.,Owusu, P. A., &amp; Rivas, M. F. (2019).Determinants of renewable energy consumption </w:t>
      </w:r>
    </w:p>
    <w:p w14:paraId="16D71B2A" w14:textId="5FD401B7" w:rsidR="00F06C44" w:rsidRPr="00E84B3A" w:rsidRDefault="00F06C44" w:rsidP="00852B59">
      <w:pPr>
        <w:spacing w:line="360" w:lineRule="auto"/>
        <w:ind w:left="720"/>
        <w:jc w:val="both"/>
      </w:pPr>
      <w:r w:rsidRPr="00E84B3A">
        <w:t>in Africa. Environmental Science and Pollution Research, 26(15), 15390-15405</w:t>
      </w:r>
    </w:p>
    <w:p w14:paraId="6A4154DD" w14:textId="77777777" w:rsidR="00852B59" w:rsidRDefault="00F06C44" w:rsidP="00852B59">
      <w:pPr>
        <w:spacing w:line="360" w:lineRule="auto"/>
        <w:jc w:val="both"/>
        <w:rPr>
          <w:color w:val="333333"/>
          <w:shd w:val="clear" w:color="auto" w:fill="FCFCFC"/>
        </w:rPr>
      </w:pPr>
      <w:r w:rsidRPr="00E84B3A">
        <w:rPr>
          <w:color w:val="333333"/>
          <w:shd w:val="clear" w:color="auto" w:fill="FCFCFC"/>
        </w:rPr>
        <w:t xml:space="preserve">Filippini, M., &amp; Pachauri, S. (2004). Elasticities of electricity demand in urban Indian </w:t>
      </w:r>
    </w:p>
    <w:p w14:paraId="5539CFFB" w14:textId="51C41408" w:rsidR="00F06C44" w:rsidRPr="00E84B3A" w:rsidRDefault="00F06C44" w:rsidP="00852B59">
      <w:pPr>
        <w:spacing w:line="360" w:lineRule="auto"/>
        <w:ind w:left="720"/>
        <w:jc w:val="both"/>
        <w:rPr>
          <w:color w:val="222222"/>
          <w:shd w:val="clear" w:color="auto" w:fill="FFFFFF"/>
        </w:rPr>
      </w:pPr>
      <w:r w:rsidRPr="00E84B3A">
        <w:rPr>
          <w:color w:val="333333"/>
          <w:shd w:val="clear" w:color="auto" w:fill="FCFCFC"/>
        </w:rPr>
        <w:t>households. </w:t>
      </w:r>
      <w:r w:rsidRPr="00E84B3A">
        <w:rPr>
          <w:i/>
          <w:iCs/>
          <w:color w:val="333333"/>
          <w:shd w:val="clear" w:color="auto" w:fill="FCFCFC"/>
        </w:rPr>
        <w:t>Energy Policy</w:t>
      </w:r>
      <w:r w:rsidRPr="00E84B3A">
        <w:rPr>
          <w:color w:val="333333"/>
          <w:shd w:val="clear" w:color="auto" w:fill="FCFCFC"/>
        </w:rPr>
        <w:t>, </w:t>
      </w:r>
      <w:r w:rsidRPr="00E84B3A">
        <w:rPr>
          <w:i/>
          <w:iCs/>
          <w:color w:val="333333"/>
          <w:shd w:val="clear" w:color="auto" w:fill="FCFCFC"/>
        </w:rPr>
        <w:t>32</w:t>
      </w:r>
      <w:r w:rsidRPr="00E84B3A">
        <w:rPr>
          <w:color w:val="333333"/>
          <w:shd w:val="clear" w:color="auto" w:fill="FCFCFC"/>
        </w:rPr>
        <w:t>(3), 429 -436. </w:t>
      </w:r>
      <w:hyperlink r:id="rId18" w:history="1">
        <w:r w:rsidRPr="00E84B3A">
          <w:rPr>
            <w:rStyle w:val="Hyperlink"/>
            <w:rFonts w:eastAsiaTheme="majorEastAsia"/>
            <w:color w:val="004B83"/>
            <w:shd w:val="clear" w:color="auto" w:fill="FCFCFC"/>
          </w:rPr>
          <w:t>https://doi.org/10.1016/S0301-4215(02)00314-2</w:t>
        </w:r>
      </w:hyperlink>
      <w:r w:rsidRPr="00E84B3A">
        <w:rPr>
          <w:color w:val="333333"/>
          <w:shd w:val="clear" w:color="auto" w:fill="FCFCFC"/>
        </w:rPr>
        <w:t>.</w:t>
      </w:r>
    </w:p>
    <w:p w14:paraId="3E10C77D"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Griffin, J. M., &amp; Gregory, P. R. (1976). An intercountry translog model of energy substitution </w:t>
      </w:r>
    </w:p>
    <w:p w14:paraId="25ECB317" w14:textId="651A53E1"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responses. </w:t>
      </w:r>
      <w:r w:rsidRPr="00E84B3A">
        <w:rPr>
          <w:i/>
          <w:iCs/>
          <w:color w:val="222222"/>
          <w:shd w:val="clear" w:color="auto" w:fill="FFFFFF"/>
        </w:rPr>
        <w:t>The American economic review</w:t>
      </w:r>
      <w:r w:rsidRPr="00E84B3A">
        <w:rPr>
          <w:color w:val="222222"/>
          <w:shd w:val="clear" w:color="auto" w:fill="FFFFFF"/>
        </w:rPr>
        <w:t>, </w:t>
      </w:r>
      <w:r w:rsidRPr="00E84B3A">
        <w:rPr>
          <w:i/>
          <w:iCs/>
          <w:color w:val="222222"/>
          <w:shd w:val="clear" w:color="auto" w:fill="FFFFFF"/>
        </w:rPr>
        <w:t>66</w:t>
      </w:r>
      <w:r w:rsidRPr="00E84B3A">
        <w:rPr>
          <w:color w:val="222222"/>
          <w:shd w:val="clear" w:color="auto" w:fill="FFFFFF"/>
        </w:rPr>
        <w:t>(5), 845-857.</w:t>
      </w:r>
    </w:p>
    <w:p w14:paraId="23E974D6"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Grossman, G. M., &amp; Krueger, A. B. (1991). Environmental impacts of a North American free trade </w:t>
      </w:r>
    </w:p>
    <w:p w14:paraId="049F4A35" w14:textId="477D105C"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agreement.</w:t>
      </w:r>
    </w:p>
    <w:p w14:paraId="6DEE865A" w14:textId="77777777" w:rsidR="00F06C44" w:rsidRPr="00E84B3A" w:rsidRDefault="00F06C44" w:rsidP="00852B59">
      <w:pPr>
        <w:spacing w:line="360" w:lineRule="auto"/>
        <w:jc w:val="both"/>
        <w:rPr>
          <w:color w:val="222222"/>
          <w:shd w:val="clear" w:color="auto" w:fill="FFFFFF"/>
        </w:rPr>
      </w:pPr>
      <w:r w:rsidRPr="00E84B3A">
        <w:rPr>
          <w:color w:val="222222"/>
          <w:shd w:val="clear" w:color="auto" w:fill="FFFFFF"/>
        </w:rPr>
        <w:t>Gujarati, D. N., Bernier, B., &amp; Bernier, B. (2004). </w:t>
      </w:r>
      <w:r w:rsidRPr="00E84B3A">
        <w:rPr>
          <w:i/>
          <w:iCs/>
          <w:color w:val="222222"/>
          <w:shd w:val="clear" w:color="auto" w:fill="FFFFFF"/>
        </w:rPr>
        <w:t>Econométrie</w:t>
      </w:r>
      <w:r w:rsidRPr="00E84B3A">
        <w:rPr>
          <w:color w:val="222222"/>
          <w:shd w:val="clear" w:color="auto" w:fill="FFFFFF"/>
        </w:rPr>
        <w:t> (pp. 17-5). Brussels: De Boeck.</w:t>
      </w:r>
    </w:p>
    <w:p w14:paraId="36C0791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Haug, A. A. (2002). Temporal aggregation and the power of cointegration tests: A Monte Carlo </w:t>
      </w:r>
    </w:p>
    <w:p w14:paraId="72A52640" w14:textId="52AFA101"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study. </w:t>
      </w:r>
      <w:r w:rsidRPr="00E84B3A">
        <w:rPr>
          <w:i/>
          <w:iCs/>
          <w:color w:val="222222"/>
          <w:shd w:val="clear" w:color="auto" w:fill="FFFFFF"/>
        </w:rPr>
        <w:t>Available at SSRN 334965</w:t>
      </w:r>
      <w:r w:rsidRPr="00E84B3A">
        <w:rPr>
          <w:color w:val="222222"/>
          <w:shd w:val="clear" w:color="auto" w:fill="FFFFFF"/>
        </w:rPr>
        <w:t>.</w:t>
      </w:r>
    </w:p>
    <w:p w14:paraId="4CF231CE"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Huang, B. N., Hwang, M. J., &amp; Yang, C. W. (2008). Causal relationship between energy </w:t>
      </w:r>
    </w:p>
    <w:p w14:paraId="44B95352" w14:textId="5ABE2DDC"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consumption and GDP growth revisited: a dynamic panel data approach. </w:t>
      </w:r>
      <w:r w:rsidRPr="00E84B3A">
        <w:rPr>
          <w:i/>
          <w:iCs/>
          <w:color w:val="222222"/>
          <w:shd w:val="clear" w:color="auto" w:fill="FFFFFF"/>
        </w:rPr>
        <w:t>Ecological economics</w:t>
      </w:r>
      <w:r w:rsidRPr="00E84B3A">
        <w:rPr>
          <w:color w:val="222222"/>
          <w:shd w:val="clear" w:color="auto" w:fill="FFFFFF"/>
        </w:rPr>
        <w:t>, </w:t>
      </w:r>
      <w:r w:rsidRPr="00E84B3A">
        <w:rPr>
          <w:i/>
          <w:iCs/>
          <w:color w:val="222222"/>
          <w:shd w:val="clear" w:color="auto" w:fill="FFFFFF"/>
        </w:rPr>
        <w:t>67</w:t>
      </w:r>
      <w:r w:rsidRPr="00E84B3A">
        <w:rPr>
          <w:color w:val="222222"/>
          <w:shd w:val="clear" w:color="auto" w:fill="FFFFFF"/>
        </w:rPr>
        <w:t>(1), 41-54.</w:t>
      </w:r>
    </w:p>
    <w:p w14:paraId="47960E19"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Hulten, C. R. (1978). Growth accounting with intermediate inputs. </w:t>
      </w:r>
      <w:r w:rsidRPr="00E84B3A">
        <w:rPr>
          <w:i/>
          <w:iCs/>
          <w:color w:val="222222"/>
          <w:shd w:val="clear" w:color="auto" w:fill="FFFFFF"/>
        </w:rPr>
        <w:t xml:space="preserve">The Review of Economic </w:t>
      </w:r>
    </w:p>
    <w:p w14:paraId="14BE4430" w14:textId="73881B8E"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lastRenderedPageBreak/>
        <w:t>Studies</w:t>
      </w:r>
      <w:r w:rsidRPr="00E84B3A">
        <w:rPr>
          <w:color w:val="222222"/>
          <w:shd w:val="clear" w:color="auto" w:fill="FFFFFF"/>
        </w:rPr>
        <w:t>, </w:t>
      </w:r>
      <w:r w:rsidRPr="00E84B3A">
        <w:rPr>
          <w:i/>
          <w:iCs/>
          <w:color w:val="222222"/>
          <w:shd w:val="clear" w:color="auto" w:fill="FFFFFF"/>
        </w:rPr>
        <w:t>45</w:t>
      </w:r>
      <w:r w:rsidRPr="00E84B3A">
        <w:rPr>
          <w:color w:val="222222"/>
          <w:shd w:val="clear" w:color="auto" w:fill="FFFFFF"/>
        </w:rPr>
        <w:t>(3), 511-518.</w:t>
      </w:r>
    </w:p>
    <w:p w14:paraId="5BB65751"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IEA, O. (2018). Update on Recent Progress in Reform of Inefficient Fossil Fuel Subsidies That </w:t>
      </w:r>
    </w:p>
    <w:p w14:paraId="624A9F48" w14:textId="570AFDC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Encourages Wasteful Consumption. </w:t>
      </w:r>
      <w:r w:rsidRPr="00E84B3A">
        <w:rPr>
          <w:i/>
          <w:iCs/>
          <w:color w:val="222222"/>
          <w:shd w:val="clear" w:color="auto" w:fill="FFFFFF"/>
        </w:rPr>
        <w:t>G20 Energy Minist. Meet</w:t>
      </w:r>
      <w:r w:rsidRPr="00E84B3A">
        <w:rPr>
          <w:color w:val="222222"/>
          <w:shd w:val="clear" w:color="auto" w:fill="FFFFFF"/>
        </w:rPr>
        <w:t>, </w:t>
      </w:r>
      <w:r w:rsidRPr="00E84B3A">
        <w:rPr>
          <w:i/>
          <w:iCs/>
          <w:color w:val="222222"/>
          <w:shd w:val="clear" w:color="auto" w:fill="FFFFFF"/>
        </w:rPr>
        <w:t>23</w:t>
      </w:r>
      <w:r w:rsidRPr="00E84B3A">
        <w:rPr>
          <w:color w:val="222222"/>
          <w:shd w:val="clear" w:color="auto" w:fill="FFFFFF"/>
        </w:rPr>
        <w:t>.</w:t>
      </w:r>
    </w:p>
    <w:p w14:paraId="1C372DA3" w14:textId="77777777" w:rsidR="00852B59" w:rsidRDefault="00F06C44" w:rsidP="00852B59">
      <w:pPr>
        <w:spacing w:line="360" w:lineRule="auto"/>
        <w:jc w:val="both"/>
      </w:pPr>
      <w:r w:rsidRPr="00E84B3A">
        <w:t xml:space="preserve">IEA. (2019). Africa Energy Outlook 2019(World Energy Outlook Special Report). paris: </w:t>
      </w:r>
    </w:p>
    <w:p w14:paraId="63CD6FAF" w14:textId="48B0EA38" w:rsidR="00F06C44" w:rsidRPr="00E84B3A" w:rsidRDefault="00F06C44" w:rsidP="00852B59">
      <w:pPr>
        <w:spacing w:line="360" w:lineRule="auto"/>
        <w:ind w:left="720"/>
        <w:jc w:val="both"/>
      </w:pPr>
      <w:r w:rsidRPr="00E84B3A">
        <w:t>international energy Agency retrived on 10</w:t>
      </w:r>
      <w:r w:rsidR="00852B59" w:rsidRPr="00852B59">
        <w:rPr>
          <w:vertAlign w:val="superscript"/>
        </w:rPr>
        <w:t>th</w:t>
      </w:r>
      <w:r w:rsidR="00852B59">
        <w:t xml:space="preserve"> </w:t>
      </w:r>
      <w:r w:rsidRPr="00E84B3A">
        <w:t>jan 2021 from https://www.iea.org/reports/africa-energy-outlook-2019</w:t>
      </w:r>
    </w:p>
    <w:p w14:paraId="7F1CD73E" w14:textId="77777777" w:rsidR="00852B59" w:rsidRDefault="00F06C44" w:rsidP="00852B59">
      <w:pPr>
        <w:spacing w:line="360" w:lineRule="auto"/>
        <w:jc w:val="both"/>
      </w:pPr>
      <w:r w:rsidRPr="00E84B3A">
        <w:t xml:space="preserve">IRENA (International Renewable Energy Agency)(2022).Energy profile Rwanda. Retrieved on 10 </w:t>
      </w:r>
    </w:p>
    <w:p w14:paraId="5B42874E" w14:textId="389646B6" w:rsidR="00F06C44" w:rsidRPr="00E84B3A" w:rsidRDefault="00852B59" w:rsidP="00852B59">
      <w:pPr>
        <w:spacing w:line="360" w:lineRule="auto"/>
        <w:ind w:left="720"/>
      </w:pPr>
      <w:r>
        <w:t xml:space="preserve">July 2022 from </w:t>
      </w:r>
      <w:hyperlink r:id="rId19" w:history="1">
        <w:r w:rsidR="00F06C44" w:rsidRPr="00E84B3A">
          <w:rPr>
            <w:rStyle w:val="Hyperlink"/>
            <w:rFonts w:eastAsiaTheme="majorEastAsia"/>
          </w:rPr>
          <w:t>https://www.irena.org//media/Files/IRENA/Agency/Statistics/Statistical_Profiles/Africa/Rwanda_Africa_RE_SP.pdf</w:t>
        </w:r>
      </w:hyperlink>
    </w:p>
    <w:p w14:paraId="30B68DD7"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Johansen, S. (1988). Statistical analysis of cointegration vectors. </w:t>
      </w:r>
      <w:r w:rsidRPr="00E84B3A">
        <w:rPr>
          <w:i/>
          <w:iCs/>
          <w:color w:val="222222"/>
          <w:shd w:val="clear" w:color="auto" w:fill="FFFFFF"/>
        </w:rPr>
        <w:t xml:space="preserve">Journal of economic dynamics </w:t>
      </w:r>
    </w:p>
    <w:p w14:paraId="224DA968" w14:textId="1B47E8B1"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and control</w:t>
      </w:r>
      <w:r w:rsidRPr="00E84B3A">
        <w:rPr>
          <w:color w:val="222222"/>
          <w:shd w:val="clear" w:color="auto" w:fill="FFFFFF"/>
        </w:rPr>
        <w:t>, </w:t>
      </w:r>
      <w:r w:rsidRPr="00E84B3A">
        <w:rPr>
          <w:i/>
          <w:iCs/>
          <w:color w:val="222222"/>
          <w:shd w:val="clear" w:color="auto" w:fill="FFFFFF"/>
        </w:rPr>
        <w:t>12</w:t>
      </w:r>
      <w:r w:rsidRPr="00E84B3A">
        <w:rPr>
          <w:color w:val="222222"/>
          <w:shd w:val="clear" w:color="auto" w:fill="FFFFFF"/>
        </w:rPr>
        <w:t>(2-3), 231-254.</w:t>
      </w:r>
    </w:p>
    <w:p w14:paraId="11A46EA0"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Johansen, S. (1991). Estimation and hypothesis testing of cointegration vectors in Gaussian vector </w:t>
      </w:r>
    </w:p>
    <w:p w14:paraId="1868CE1B" w14:textId="7EB21A3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autoregressive models. </w:t>
      </w:r>
      <w:r w:rsidRPr="00E84B3A">
        <w:rPr>
          <w:i/>
          <w:iCs/>
          <w:color w:val="222222"/>
          <w:shd w:val="clear" w:color="auto" w:fill="FFFFFF"/>
        </w:rPr>
        <w:t>Econometrica: journal of the Econometric Society</w:t>
      </w:r>
      <w:r w:rsidRPr="00E84B3A">
        <w:rPr>
          <w:color w:val="222222"/>
          <w:shd w:val="clear" w:color="auto" w:fill="FFFFFF"/>
        </w:rPr>
        <w:t>, 1551-1580.</w:t>
      </w:r>
    </w:p>
    <w:p w14:paraId="3A8774C8"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Johansen, S., &amp; Juselius, K. (1990). Maximum likelihood estimation and inference on </w:t>
      </w:r>
    </w:p>
    <w:p w14:paraId="07B794B0" w14:textId="098B27E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cointegration—with appucations to the demand for money. </w:t>
      </w:r>
      <w:r w:rsidRPr="00E84B3A">
        <w:rPr>
          <w:i/>
          <w:iCs/>
          <w:color w:val="222222"/>
          <w:shd w:val="clear" w:color="auto" w:fill="FFFFFF"/>
        </w:rPr>
        <w:t>Oxford Bulletin of Economics and statistics</w:t>
      </w:r>
      <w:r w:rsidRPr="00E84B3A">
        <w:rPr>
          <w:color w:val="222222"/>
          <w:shd w:val="clear" w:color="auto" w:fill="FFFFFF"/>
        </w:rPr>
        <w:t>, </w:t>
      </w:r>
      <w:r w:rsidRPr="00E84B3A">
        <w:rPr>
          <w:i/>
          <w:iCs/>
          <w:color w:val="222222"/>
          <w:shd w:val="clear" w:color="auto" w:fill="FFFFFF"/>
        </w:rPr>
        <w:t>52</w:t>
      </w:r>
      <w:r w:rsidRPr="00E84B3A">
        <w:rPr>
          <w:color w:val="222222"/>
          <w:shd w:val="clear" w:color="auto" w:fill="FFFFFF"/>
        </w:rPr>
        <w:t>(2), 169-210.</w:t>
      </w:r>
    </w:p>
    <w:p w14:paraId="61DC0157"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Jones, D. W. (1991). How urbanization affects energy-use in developing countries. </w:t>
      </w:r>
      <w:r w:rsidRPr="00E84B3A">
        <w:rPr>
          <w:i/>
          <w:iCs/>
          <w:color w:val="222222"/>
          <w:shd w:val="clear" w:color="auto" w:fill="FFFFFF"/>
        </w:rPr>
        <w:t xml:space="preserve">Energy </w:t>
      </w:r>
    </w:p>
    <w:p w14:paraId="28CFE43A" w14:textId="7958E1D1"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policy</w:t>
      </w:r>
      <w:r w:rsidRPr="00E84B3A">
        <w:rPr>
          <w:color w:val="222222"/>
          <w:shd w:val="clear" w:color="auto" w:fill="FFFFFF"/>
        </w:rPr>
        <w:t>, </w:t>
      </w:r>
      <w:r w:rsidRPr="00E84B3A">
        <w:rPr>
          <w:i/>
          <w:iCs/>
          <w:color w:val="222222"/>
          <w:shd w:val="clear" w:color="auto" w:fill="FFFFFF"/>
        </w:rPr>
        <w:t>19</w:t>
      </w:r>
      <w:r w:rsidRPr="00E84B3A">
        <w:rPr>
          <w:color w:val="222222"/>
          <w:shd w:val="clear" w:color="auto" w:fill="FFFFFF"/>
        </w:rPr>
        <w:t>(7), 621-630.</w:t>
      </w:r>
    </w:p>
    <w:p w14:paraId="51315D5C"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Jumbe, C. B. (2004). Cointegration and causality between electricity consumption and GDP: </w:t>
      </w:r>
    </w:p>
    <w:p w14:paraId="4A735911" w14:textId="602D9EC9"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empirical evidence from Malawi.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26</w:t>
      </w:r>
      <w:r w:rsidRPr="00E84B3A">
        <w:rPr>
          <w:color w:val="222222"/>
          <w:shd w:val="clear" w:color="auto" w:fill="FFFFFF"/>
        </w:rPr>
        <w:t>(1), 61-68.</w:t>
      </w:r>
    </w:p>
    <w:p w14:paraId="7BE72152"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Khalid, I., &amp; Khalid, B. (2010). The Determinant of Demand for electricity. </w:t>
      </w:r>
      <w:r w:rsidRPr="00E84B3A">
        <w:rPr>
          <w:i/>
          <w:iCs/>
          <w:color w:val="222222"/>
          <w:shd w:val="clear" w:color="auto" w:fill="FFFFFF"/>
        </w:rPr>
        <w:t xml:space="preserve">The Case of Jordan </w:t>
      </w:r>
    </w:p>
    <w:p w14:paraId="462CAC67" w14:textId="3AF248FF"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(1979-2008). Retrieved on</w:t>
      </w:r>
      <w:r w:rsidRPr="00E84B3A">
        <w:rPr>
          <w:color w:val="222222"/>
          <w:shd w:val="clear" w:color="auto" w:fill="FFFFFF"/>
        </w:rPr>
        <w:t>, </w:t>
      </w:r>
      <w:r w:rsidRPr="00E84B3A">
        <w:rPr>
          <w:i/>
          <w:iCs/>
          <w:color w:val="222222"/>
          <w:shd w:val="clear" w:color="auto" w:fill="FFFFFF"/>
        </w:rPr>
        <w:t>14</w:t>
      </w:r>
      <w:r w:rsidRPr="00E84B3A">
        <w:rPr>
          <w:color w:val="222222"/>
          <w:shd w:val="clear" w:color="auto" w:fill="FFFFFF"/>
        </w:rPr>
        <w:t>(06), 2012.</w:t>
      </w:r>
    </w:p>
    <w:p w14:paraId="5294B37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Khan, M. I., Teng, J. Z., &amp; Khan, M. K. (2020). The impact of macroeconomic and financial </w:t>
      </w:r>
    </w:p>
    <w:p w14:paraId="3ADED358" w14:textId="3494FC02"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development on carbon dioxide emissions in Pakistan: evidence with a novel dynamic simulated ARDL approach. </w:t>
      </w:r>
      <w:r w:rsidRPr="00E84B3A">
        <w:rPr>
          <w:i/>
          <w:iCs/>
          <w:color w:val="222222"/>
          <w:shd w:val="clear" w:color="auto" w:fill="FFFFFF"/>
        </w:rPr>
        <w:t>Environmental Science and Pollution Research</w:t>
      </w:r>
      <w:r w:rsidRPr="00E84B3A">
        <w:rPr>
          <w:color w:val="222222"/>
          <w:shd w:val="clear" w:color="auto" w:fill="FFFFFF"/>
        </w:rPr>
        <w:t>, </w:t>
      </w:r>
      <w:r w:rsidRPr="00E84B3A">
        <w:rPr>
          <w:i/>
          <w:iCs/>
          <w:color w:val="222222"/>
          <w:shd w:val="clear" w:color="auto" w:fill="FFFFFF"/>
        </w:rPr>
        <w:t>27</w:t>
      </w:r>
      <w:r w:rsidRPr="00E84B3A">
        <w:rPr>
          <w:color w:val="222222"/>
          <w:shd w:val="clear" w:color="auto" w:fill="FFFFFF"/>
        </w:rPr>
        <w:t>(31), 39560-39571.</w:t>
      </w:r>
    </w:p>
    <w:p w14:paraId="5231560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Khanna, M., &amp; Rao, N. D. (2009). Supply and demand of electricity in the developing </w:t>
      </w:r>
    </w:p>
    <w:p w14:paraId="115EAE57" w14:textId="417575B4"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world. </w:t>
      </w:r>
      <w:r w:rsidRPr="00E84B3A">
        <w:rPr>
          <w:i/>
          <w:iCs/>
          <w:color w:val="222222"/>
          <w:shd w:val="clear" w:color="auto" w:fill="FFFFFF"/>
        </w:rPr>
        <w:t>Annual review of resource economics</w:t>
      </w:r>
      <w:r w:rsidRPr="00E84B3A">
        <w:rPr>
          <w:color w:val="222222"/>
          <w:shd w:val="clear" w:color="auto" w:fill="FFFFFF"/>
        </w:rPr>
        <w:t>, </w:t>
      </w:r>
      <w:r w:rsidRPr="00E84B3A">
        <w:rPr>
          <w:i/>
          <w:iCs/>
          <w:color w:val="222222"/>
          <w:shd w:val="clear" w:color="auto" w:fill="FFFFFF"/>
        </w:rPr>
        <w:t>1</w:t>
      </w:r>
      <w:r w:rsidRPr="00E84B3A">
        <w:rPr>
          <w:color w:val="222222"/>
          <w:shd w:val="clear" w:color="auto" w:fill="FFFFFF"/>
        </w:rPr>
        <w:t>(1), 567-596.</w:t>
      </w:r>
    </w:p>
    <w:p w14:paraId="17DFA6EC"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Khim-Sen, L. V. (2004). On Autoregressive Order Selection Criteria. </w:t>
      </w:r>
      <w:r w:rsidRPr="00E84B3A">
        <w:rPr>
          <w:i/>
          <w:iCs/>
          <w:color w:val="222222"/>
          <w:shd w:val="clear" w:color="auto" w:fill="FFFFFF"/>
        </w:rPr>
        <w:t xml:space="preserve">Faculty of Economics and </w:t>
      </w:r>
    </w:p>
    <w:p w14:paraId="7852EB23" w14:textId="149449CB"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Management, Universiti Putra Malaysia, 43400 UPM, Serdang, Malaysia</w:t>
      </w:r>
      <w:r w:rsidRPr="00E84B3A">
        <w:rPr>
          <w:color w:val="222222"/>
          <w:shd w:val="clear" w:color="auto" w:fill="FFFFFF"/>
        </w:rPr>
        <w:t>.</w:t>
      </w:r>
    </w:p>
    <w:p w14:paraId="07FFF36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lastRenderedPageBreak/>
        <w:t xml:space="preserve">Koondhar, M. A., Li, H., Wang, H., Bold, S., &amp; Kong, R. (2020). Looking back over the past two </w:t>
      </w:r>
    </w:p>
    <w:p w14:paraId="20138C03" w14:textId="0F7148BB"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decades on the nexus between air pollution, energy consumption, and agricultural productivity in China: a qualitative analysis based on the ARDL bounds testing model. </w:t>
      </w:r>
      <w:r w:rsidRPr="00E84B3A">
        <w:rPr>
          <w:i/>
          <w:iCs/>
          <w:color w:val="222222"/>
          <w:shd w:val="clear" w:color="auto" w:fill="FFFFFF"/>
        </w:rPr>
        <w:t>Environmental Science and Pollution Research</w:t>
      </w:r>
      <w:r w:rsidRPr="00E84B3A">
        <w:rPr>
          <w:color w:val="222222"/>
          <w:shd w:val="clear" w:color="auto" w:fill="FFFFFF"/>
        </w:rPr>
        <w:t>, </w:t>
      </w:r>
      <w:r w:rsidRPr="00E84B3A">
        <w:rPr>
          <w:i/>
          <w:iCs/>
          <w:color w:val="222222"/>
          <w:shd w:val="clear" w:color="auto" w:fill="FFFFFF"/>
        </w:rPr>
        <w:t>27</w:t>
      </w:r>
      <w:r w:rsidRPr="00E84B3A">
        <w:rPr>
          <w:color w:val="222222"/>
          <w:shd w:val="clear" w:color="auto" w:fill="FFFFFF"/>
        </w:rPr>
        <w:t>(12), 13575-13589.</w:t>
      </w:r>
    </w:p>
    <w:p w14:paraId="1A4FC621"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Lee, J. W. (2013). The contribution of foreign direct investment to clean energy use, carbon </w:t>
      </w:r>
    </w:p>
    <w:p w14:paraId="28EF10F4" w14:textId="22C27D5B"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emissions and economic growth.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55</w:t>
      </w:r>
      <w:r w:rsidRPr="00E84B3A">
        <w:rPr>
          <w:color w:val="222222"/>
          <w:shd w:val="clear" w:color="auto" w:fill="FFFFFF"/>
        </w:rPr>
        <w:t>, 483-489.</w:t>
      </w:r>
    </w:p>
    <w:p w14:paraId="2B53607A"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Liu, X., &amp; Bae, J. (2018). Urbanization and industrialization impact of CO2 emissions in </w:t>
      </w:r>
    </w:p>
    <w:p w14:paraId="766A2D84" w14:textId="59519F26"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China. </w:t>
      </w:r>
      <w:r w:rsidRPr="00E84B3A">
        <w:rPr>
          <w:i/>
          <w:iCs/>
          <w:color w:val="222222"/>
          <w:shd w:val="clear" w:color="auto" w:fill="FFFFFF"/>
        </w:rPr>
        <w:t>Journal of cleaner production</w:t>
      </w:r>
      <w:r w:rsidRPr="00E84B3A">
        <w:rPr>
          <w:color w:val="222222"/>
          <w:shd w:val="clear" w:color="auto" w:fill="FFFFFF"/>
        </w:rPr>
        <w:t>, </w:t>
      </w:r>
      <w:r w:rsidRPr="00E84B3A">
        <w:rPr>
          <w:i/>
          <w:iCs/>
          <w:color w:val="222222"/>
          <w:shd w:val="clear" w:color="auto" w:fill="FFFFFF"/>
        </w:rPr>
        <w:t>172</w:t>
      </w:r>
      <w:r w:rsidRPr="00E84B3A">
        <w:rPr>
          <w:color w:val="222222"/>
          <w:shd w:val="clear" w:color="auto" w:fill="FFFFFF"/>
        </w:rPr>
        <w:t>, 178-186.</w:t>
      </w:r>
    </w:p>
    <w:p w14:paraId="6F9459E4" w14:textId="77777777" w:rsidR="00852B59" w:rsidRDefault="00F06C44" w:rsidP="00852B59">
      <w:pPr>
        <w:spacing w:line="360" w:lineRule="auto"/>
        <w:jc w:val="both"/>
        <w:rPr>
          <w:color w:val="333333"/>
          <w:shd w:val="clear" w:color="auto" w:fill="FCFCFC"/>
        </w:rPr>
      </w:pPr>
      <w:r w:rsidRPr="00E84B3A">
        <w:rPr>
          <w:color w:val="333333"/>
          <w:shd w:val="clear" w:color="auto" w:fill="FCFCFC"/>
        </w:rPr>
        <w:t xml:space="preserve">Mavikela N, Khobai H (2018) Investigating the link between foreign direct investment, energy </w:t>
      </w:r>
    </w:p>
    <w:p w14:paraId="626108BA" w14:textId="45B5EEBB" w:rsidR="00F06C44" w:rsidRPr="00E84B3A" w:rsidRDefault="00F06C44" w:rsidP="00852B59">
      <w:pPr>
        <w:spacing w:line="360" w:lineRule="auto"/>
        <w:ind w:left="720"/>
        <w:jc w:val="both"/>
        <w:rPr>
          <w:color w:val="333333"/>
          <w:shd w:val="clear" w:color="auto" w:fill="FCFCFC"/>
        </w:rPr>
      </w:pPr>
      <w:r w:rsidRPr="00E84B3A">
        <w:rPr>
          <w:color w:val="333333"/>
          <w:shd w:val="clear" w:color="auto" w:fill="FCFCFC"/>
        </w:rPr>
        <w:t>consumption and economic growth in Argentina. Munich Personal RePEC Archive (MPRA) Paper No 83960</w:t>
      </w:r>
    </w:p>
    <w:p w14:paraId="2D50701C"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Mielnik, O., &amp; Goldemberg, J. (2002). Foreign direct investment and decoupling between energy </w:t>
      </w:r>
    </w:p>
    <w:p w14:paraId="3F98B770" w14:textId="115963A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and gross domestic product in developing countries.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30</w:t>
      </w:r>
      <w:r w:rsidRPr="00E84B3A">
        <w:rPr>
          <w:color w:val="222222"/>
          <w:shd w:val="clear" w:color="auto" w:fill="FFFFFF"/>
        </w:rPr>
        <w:t>(2), 87-89.</w:t>
      </w:r>
    </w:p>
    <w:p w14:paraId="6995BAE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MINECOFIN, J. (2007). The Economic Development and Poverty Reduction Strategy </w:t>
      </w:r>
    </w:p>
    <w:p w14:paraId="60C224CB" w14:textId="659D9623"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(EDPRS). </w:t>
      </w:r>
      <w:r w:rsidRPr="00E84B3A">
        <w:rPr>
          <w:i/>
          <w:iCs/>
          <w:color w:val="222222"/>
          <w:shd w:val="clear" w:color="auto" w:fill="FFFFFF"/>
        </w:rPr>
        <w:t>Final Draft. Kigali</w:t>
      </w:r>
      <w:r w:rsidRPr="00E84B3A">
        <w:rPr>
          <w:color w:val="222222"/>
          <w:shd w:val="clear" w:color="auto" w:fill="FFFFFF"/>
        </w:rPr>
        <w:t>.</w:t>
      </w:r>
    </w:p>
    <w:p w14:paraId="130A692C" w14:textId="77777777" w:rsidR="00F06C44" w:rsidRPr="00E84B3A" w:rsidRDefault="00F06C44" w:rsidP="00852B59">
      <w:pPr>
        <w:spacing w:line="360" w:lineRule="auto"/>
        <w:jc w:val="both"/>
      </w:pPr>
      <w:r w:rsidRPr="00E84B3A">
        <w:t>Minenfra.(2018).Energy Sector Strategic Plan(2018/19 to 2023/24.Kigali:Rwanda</w:t>
      </w:r>
    </w:p>
    <w:p w14:paraId="71F33B3B" w14:textId="77777777" w:rsidR="00852B59" w:rsidRDefault="00F06C44" w:rsidP="00852B59">
      <w:pPr>
        <w:spacing w:line="360" w:lineRule="auto"/>
        <w:jc w:val="both"/>
      </w:pPr>
      <w:r w:rsidRPr="00E84B3A">
        <w:t xml:space="preserve">MININFRA. (2021). WWW.MININFRA.GOV.RW. Retrieved june 16, 2021, from </w:t>
      </w:r>
    </w:p>
    <w:p w14:paraId="11718644" w14:textId="3F5D1B75" w:rsidR="00F06C44" w:rsidRPr="00E84B3A" w:rsidRDefault="00326B0D" w:rsidP="00852B59">
      <w:pPr>
        <w:spacing w:line="360" w:lineRule="auto"/>
        <w:ind w:left="720"/>
        <w:jc w:val="both"/>
      </w:pPr>
      <w:hyperlink r:id="rId20" w:history="1">
        <w:r w:rsidR="00F06C44" w:rsidRPr="00E84B3A">
          <w:rPr>
            <w:rStyle w:val="Hyperlink"/>
            <w:rFonts w:eastAsiaTheme="majorEastAsia"/>
          </w:rPr>
          <w:t>https://www.mininfra.gov.rw/digital-transformation-1-1</w:t>
        </w:r>
      </w:hyperlink>
    </w:p>
    <w:p w14:paraId="632F0EA1"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Mudaheranwa, E., Udoakah, Y. O., &amp; Cipcigan, L. (2019, August). Rwanda’s energy profile and </w:t>
      </w:r>
    </w:p>
    <w:p w14:paraId="4B38AAE8" w14:textId="21F2302E"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potential renewable energy resources mapping toward sustainable development goals. In </w:t>
      </w:r>
      <w:r w:rsidRPr="00E84B3A">
        <w:rPr>
          <w:i/>
          <w:iCs/>
          <w:color w:val="222222"/>
          <w:shd w:val="clear" w:color="auto" w:fill="FFFFFF"/>
        </w:rPr>
        <w:t>2019 IEEE PES/IAS PowerAfrica</w:t>
      </w:r>
      <w:r w:rsidRPr="00E84B3A">
        <w:rPr>
          <w:color w:val="222222"/>
          <w:shd w:val="clear" w:color="auto" w:fill="FFFFFF"/>
        </w:rPr>
        <w:t> (pp. 533-538). IEEE.</w:t>
      </w:r>
    </w:p>
    <w:p w14:paraId="7D71AE10"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Murphy, J. T. (2001). Making the energy transition in rural East Africa: Is leapfrogging an </w:t>
      </w:r>
    </w:p>
    <w:p w14:paraId="580155B4" w14:textId="29C81F9E"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alternative?. </w:t>
      </w:r>
      <w:r w:rsidRPr="00E84B3A">
        <w:rPr>
          <w:i/>
          <w:iCs/>
          <w:color w:val="222222"/>
          <w:shd w:val="clear" w:color="auto" w:fill="FFFFFF"/>
        </w:rPr>
        <w:t>Technological Forecasting and Social Change</w:t>
      </w:r>
      <w:r w:rsidRPr="00E84B3A">
        <w:rPr>
          <w:color w:val="222222"/>
          <w:shd w:val="clear" w:color="auto" w:fill="FFFFFF"/>
        </w:rPr>
        <w:t>, </w:t>
      </w:r>
      <w:r w:rsidRPr="00E84B3A">
        <w:rPr>
          <w:i/>
          <w:iCs/>
          <w:color w:val="222222"/>
          <w:shd w:val="clear" w:color="auto" w:fill="FFFFFF"/>
        </w:rPr>
        <w:t>68</w:t>
      </w:r>
      <w:r w:rsidRPr="00E84B3A">
        <w:rPr>
          <w:color w:val="222222"/>
          <w:shd w:val="clear" w:color="auto" w:fill="FFFFFF"/>
        </w:rPr>
        <w:t>(2), 173-193.</w:t>
      </w:r>
    </w:p>
    <w:p w14:paraId="1063B33B"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Narayan, P. K. (2005). The saving and investment nexus for China: evidence from cointegration </w:t>
      </w:r>
    </w:p>
    <w:p w14:paraId="4641C8E9" w14:textId="53F24591"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tests. </w:t>
      </w:r>
      <w:r w:rsidRPr="00E84B3A">
        <w:rPr>
          <w:i/>
          <w:iCs/>
          <w:color w:val="222222"/>
          <w:shd w:val="clear" w:color="auto" w:fill="FFFFFF"/>
        </w:rPr>
        <w:t>Applied economics</w:t>
      </w:r>
      <w:r w:rsidRPr="00E84B3A">
        <w:rPr>
          <w:color w:val="222222"/>
          <w:shd w:val="clear" w:color="auto" w:fill="FFFFFF"/>
        </w:rPr>
        <w:t>, </w:t>
      </w:r>
      <w:r w:rsidRPr="00E84B3A">
        <w:rPr>
          <w:i/>
          <w:iCs/>
          <w:color w:val="222222"/>
          <w:shd w:val="clear" w:color="auto" w:fill="FFFFFF"/>
        </w:rPr>
        <w:t>37</w:t>
      </w:r>
      <w:r w:rsidRPr="00E84B3A">
        <w:rPr>
          <w:color w:val="222222"/>
          <w:shd w:val="clear" w:color="auto" w:fill="FFFFFF"/>
        </w:rPr>
        <w:t>(17), 1979-1990.</w:t>
      </w:r>
    </w:p>
    <w:p w14:paraId="3828211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Narayan, P. K., &amp; Singh, B. (2007). The electricity consumption and GDP nexus for the Fiji </w:t>
      </w:r>
    </w:p>
    <w:p w14:paraId="64C56969" w14:textId="78538BD3"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Islands.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29</w:t>
      </w:r>
      <w:r w:rsidRPr="00E84B3A">
        <w:rPr>
          <w:color w:val="222222"/>
          <w:shd w:val="clear" w:color="auto" w:fill="FFFFFF"/>
        </w:rPr>
        <w:t>(6), 1141-1150.</w:t>
      </w:r>
    </w:p>
    <w:p w14:paraId="616553EA"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Narayan, P. K., &amp; Smyth, R. (2005). Electricity consumption, employment and real income in </w:t>
      </w:r>
    </w:p>
    <w:p w14:paraId="0469C806" w14:textId="5451CE54"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Australia evidence from multivariate Granger causality tests.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33</w:t>
      </w:r>
      <w:r w:rsidRPr="00E84B3A">
        <w:rPr>
          <w:color w:val="222222"/>
          <w:shd w:val="clear" w:color="auto" w:fill="FFFFFF"/>
        </w:rPr>
        <w:t>(9), 1109-1116.</w:t>
      </w:r>
    </w:p>
    <w:p w14:paraId="76CCB6DF"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Nindi, A. G., &amp; Odhiambo, N. M. (2014). Energy consumption and economic growth in </w:t>
      </w:r>
    </w:p>
    <w:p w14:paraId="692B50B7" w14:textId="4BBB9840"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lastRenderedPageBreak/>
        <w:t>Mozambique: an empirical investigation. </w:t>
      </w:r>
      <w:r w:rsidRPr="00E84B3A">
        <w:rPr>
          <w:i/>
          <w:iCs/>
          <w:color w:val="222222"/>
          <w:shd w:val="clear" w:color="auto" w:fill="FFFFFF"/>
        </w:rPr>
        <w:t>Economics</w:t>
      </w:r>
      <w:r w:rsidRPr="00E84B3A">
        <w:rPr>
          <w:color w:val="222222"/>
          <w:shd w:val="clear" w:color="auto" w:fill="FFFFFF"/>
        </w:rPr>
        <w:t>, </w:t>
      </w:r>
      <w:r w:rsidRPr="00E84B3A">
        <w:rPr>
          <w:i/>
          <w:iCs/>
          <w:color w:val="222222"/>
          <w:shd w:val="clear" w:color="auto" w:fill="FFFFFF"/>
        </w:rPr>
        <w:t>5</w:t>
      </w:r>
      <w:r w:rsidRPr="00E84B3A">
        <w:rPr>
          <w:color w:val="222222"/>
          <w:shd w:val="clear" w:color="auto" w:fill="FFFFFF"/>
        </w:rPr>
        <w:t>(4).</w:t>
      </w:r>
    </w:p>
    <w:p w14:paraId="264C4AFE"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Ohlan, R. (2017). The relationship between tourism, financial development and economic growth </w:t>
      </w:r>
    </w:p>
    <w:p w14:paraId="3DC461B6" w14:textId="5A591375"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in India. </w:t>
      </w:r>
      <w:r w:rsidRPr="00E84B3A">
        <w:rPr>
          <w:i/>
          <w:iCs/>
          <w:color w:val="222222"/>
          <w:shd w:val="clear" w:color="auto" w:fill="FFFFFF"/>
        </w:rPr>
        <w:t>Future Business Journal</w:t>
      </w:r>
      <w:r w:rsidRPr="00E84B3A">
        <w:rPr>
          <w:color w:val="222222"/>
          <w:shd w:val="clear" w:color="auto" w:fill="FFFFFF"/>
        </w:rPr>
        <w:t>, </w:t>
      </w:r>
      <w:r w:rsidRPr="00E84B3A">
        <w:rPr>
          <w:i/>
          <w:iCs/>
          <w:color w:val="222222"/>
          <w:shd w:val="clear" w:color="auto" w:fill="FFFFFF"/>
        </w:rPr>
        <w:t>3</w:t>
      </w:r>
      <w:r w:rsidRPr="00E84B3A">
        <w:rPr>
          <w:color w:val="222222"/>
          <w:shd w:val="clear" w:color="auto" w:fill="FFFFFF"/>
        </w:rPr>
        <w:t>(1), 9-22.</w:t>
      </w:r>
    </w:p>
    <w:p w14:paraId="31E545CE" w14:textId="77777777" w:rsidR="00F06C44" w:rsidRPr="00E84B3A" w:rsidRDefault="00F06C44" w:rsidP="00852B59">
      <w:pPr>
        <w:spacing w:line="360" w:lineRule="auto"/>
        <w:jc w:val="both"/>
        <w:rPr>
          <w:color w:val="222222"/>
          <w:shd w:val="clear" w:color="auto" w:fill="FFFFFF"/>
        </w:rPr>
      </w:pPr>
      <w:r w:rsidRPr="00E84B3A">
        <w:rPr>
          <w:color w:val="222222"/>
          <w:shd w:val="clear" w:color="auto" w:fill="FFFFFF"/>
        </w:rPr>
        <w:t>Ozturk, I. (2010). A literature survey on energy–growth nexus.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38</w:t>
      </w:r>
      <w:r w:rsidRPr="00E84B3A">
        <w:rPr>
          <w:color w:val="222222"/>
          <w:shd w:val="clear" w:color="auto" w:fill="FFFFFF"/>
        </w:rPr>
        <w:t>(1), 340-349.</w:t>
      </w:r>
    </w:p>
    <w:p w14:paraId="0F71D0DE"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Parikh, J., &amp; Shukla, V. (1995). Urbanization, energy use and greenhouse effects in economic </w:t>
      </w:r>
    </w:p>
    <w:p w14:paraId="43B3BCA3" w14:textId="1A9CE109"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development: Results from a cross-national study of developing countries. </w:t>
      </w:r>
      <w:r w:rsidRPr="00E84B3A">
        <w:rPr>
          <w:i/>
          <w:iCs/>
          <w:color w:val="222222"/>
          <w:shd w:val="clear" w:color="auto" w:fill="FFFFFF"/>
        </w:rPr>
        <w:t>Global environmental change</w:t>
      </w:r>
      <w:r w:rsidRPr="00E84B3A">
        <w:rPr>
          <w:color w:val="222222"/>
          <w:shd w:val="clear" w:color="auto" w:fill="FFFFFF"/>
        </w:rPr>
        <w:t>, </w:t>
      </w:r>
      <w:r w:rsidRPr="00E84B3A">
        <w:rPr>
          <w:i/>
          <w:iCs/>
          <w:color w:val="222222"/>
          <w:shd w:val="clear" w:color="auto" w:fill="FFFFFF"/>
        </w:rPr>
        <w:t>5</w:t>
      </w:r>
      <w:r w:rsidRPr="00E84B3A">
        <w:rPr>
          <w:color w:val="222222"/>
          <w:shd w:val="clear" w:color="auto" w:fill="FFFFFF"/>
        </w:rPr>
        <w:t>(2), 87-103.</w:t>
      </w:r>
    </w:p>
    <w:p w14:paraId="6EAF0F5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Pesaran, H. H., &amp; Shin, Y. (1998). Generalized impulse response analysis in linear multivariate </w:t>
      </w:r>
    </w:p>
    <w:p w14:paraId="61589A05" w14:textId="1B463013"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models. </w:t>
      </w:r>
      <w:r w:rsidRPr="00E84B3A">
        <w:rPr>
          <w:i/>
          <w:iCs/>
          <w:color w:val="222222"/>
          <w:shd w:val="clear" w:color="auto" w:fill="FFFFFF"/>
        </w:rPr>
        <w:t>Economics letters</w:t>
      </w:r>
      <w:r w:rsidRPr="00E84B3A">
        <w:rPr>
          <w:color w:val="222222"/>
          <w:shd w:val="clear" w:color="auto" w:fill="FFFFFF"/>
        </w:rPr>
        <w:t>, </w:t>
      </w:r>
      <w:r w:rsidRPr="00E84B3A">
        <w:rPr>
          <w:i/>
          <w:iCs/>
          <w:color w:val="222222"/>
          <w:shd w:val="clear" w:color="auto" w:fill="FFFFFF"/>
        </w:rPr>
        <w:t>58</w:t>
      </w:r>
      <w:r w:rsidRPr="00E84B3A">
        <w:rPr>
          <w:color w:val="222222"/>
          <w:shd w:val="clear" w:color="auto" w:fill="FFFFFF"/>
        </w:rPr>
        <w:t>(1), 17-29.</w:t>
      </w:r>
    </w:p>
    <w:p w14:paraId="6F07CD72"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Pesaran, M. H. (1997). The role of economic theory in modelling the long run. </w:t>
      </w:r>
      <w:r w:rsidRPr="00E84B3A">
        <w:rPr>
          <w:i/>
          <w:iCs/>
          <w:color w:val="222222"/>
          <w:shd w:val="clear" w:color="auto" w:fill="FFFFFF"/>
        </w:rPr>
        <w:t xml:space="preserve">The economic </w:t>
      </w:r>
    </w:p>
    <w:p w14:paraId="1F19A5BC" w14:textId="3A8A8472"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journal</w:t>
      </w:r>
      <w:r w:rsidRPr="00E84B3A">
        <w:rPr>
          <w:color w:val="222222"/>
          <w:shd w:val="clear" w:color="auto" w:fill="FFFFFF"/>
        </w:rPr>
        <w:t>, </w:t>
      </w:r>
      <w:r w:rsidRPr="00E84B3A">
        <w:rPr>
          <w:i/>
          <w:iCs/>
          <w:color w:val="222222"/>
          <w:shd w:val="clear" w:color="auto" w:fill="FFFFFF"/>
        </w:rPr>
        <w:t>107</w:t>
      </w:r>
      <w:r w:rsidRPr="00E84B3A">
        <w:rPr>
          <w:color w:val="222222"/>
          <w:shd w:val="clear" w:color="auto" w:fill="FFFFFF"/>
        </w:rPr>
        <w:t>(440), 178-191.</w:t>
      </w:r>
    </w:p>
    <w:p w14:paraId="715C3C3F"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Pesaran, M. H., Shin, Y., &amp; Smith, R. J. (2001). Bounds testing approaches to the analysis of level </w:t>
      </w:r>
    </w:p>
    <w:p w14:paraId="35F7D0B3" w14:textId="14CC0158"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relationships. </w:t>
      </w:r>
      <w:r w:rsidRPr="00E84B3A">
        <w:rPr>
          <w:i/>
          <w:iCs/>
          <w:color w:val="222222"/>
          <w:shd w:val="clear" w:color="auto" w:fill="FFFFFF"/>
        </w:rPr>
        <w:t>Journal of applied econometrics</w:t>
      </w:r>
      <w:r w:rsidRPr="00E84B3A">
        <w:rPr>
          <w:color w:val="222222"/>
          <w:shd w:val="clear" w:color="auto" w:fill="FFFFFF"/>
        </w:rPr>
        <w:t>, </w:t>
      </w:r>
      <w:r w:rsidRPr="00E84B3A">
        <w:rPr>
          <w:i/>
          <w:iCs/>
          <w:color w:val="222222"/>
          <w:shd w:val="clear" w:color="auto" w:fill="FFFFFF"/>
        </w:rPr>
        <w:t>16</w:t>
      </w:r>
      <w:r w:rsidRPr="00E84B3A">
        <w:rPr>
          <w:color w:val="222222"/>
          <w:shd w:val="clear" w:color="auto" w:fill="FFFFFF"/>
        </w:rPr>
        <w:t>(3), 289-326.</w:t>
      </w:r>
    </w:p>
    <w:p w14:paraId="2790D066" w14:textId="77777777" w:rsidR="00852B59" w:rsidRDefault="00F06C44" w:rsidP="00852B59">
      <w:pPr>
        <w:spacing w:line="360" w:lineRule="auto"/>
        <w:jc w:val="both"/>
      </w:pPr>
      <w:r w:rsidRPr="00E84B3A">
        <w:t xml:space="preserve">Pesaran, M.H., Pesaran, B., 1997. Working with Microfit 4.0: Interactive Econometric Analysis. </w:t>
      </w:r>
    </w:p>
    <w:p w14:paraId="7F0E2DBA" w14:textId="2DF83EE0" w:rsidR="00F06C44" w:rsidRPr="00E84B3A" w:rsidRDefault="00F06C44" w:rsidP="00852B59">
      <w:pPr>
        <w:spacing w:line="360" w:lineRule="auto"/>
        <w:ind w:left="720"/>
        <w:jc w:val="both"/>
      </w:pPr>
      <w:r w:rsidRPr="00E84B3A">
        <w:t>Oxford, Oxford University Press</w:t>
      </w:r>
    </w:p>
    <w:p w14:paraId="771139B2"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Phillips, P. C., &amp; Hansen, B. E. (1990). Statistical inference in instrumental variables regression </w:t>
      </w:r>
    </w:p>
    <w:p w14:paraId="5DFD3C71" w14:textId="2C348CFB"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with I (1) processes. </w:t>
      </w:r>
      <w:r w:rsidRPr="00E84B3A">
        <w:rPr>
          <w:i/>
          <w:iCs/>
          <w:color w:val="222222"/>
          <w:shd w:val="clear" w:color="auto" w:fill="FFFFFF"/>
        </w:rPr>
        <w:t>The Review of Economic Studies</w:t>
      </w:r>
      <w:r w:rsidRPr="00E84B3A">
        <w:rPr>
          <w:color w:val="222222"/>
          <w:shd w:val="clear" w:color="auto" w:fill="FFFFFF"/>
        </w:rPr>
        <w:t>, </w:t>
      </w:r>
      <w:r w:rsidRPr="00E84B3A">
        <w:rPr>
          <w:i/>
          <w:iCs/>
          <w:color w:val="222222"/>
          <w:shd w:val="clear" w:color="auto" w:fill="FFFFFF"/>
        </w:rPr>
        <w:t>57</w:t>
      </w:r>
      <w:r w:rsidRPr="00E84B3A">
        <w:rPr>
          <w:color w:val="222222"/>
          <w:shd w:val="clear" w:color="auto" w:fill="FFFFFF"/>
        </w:rPr>
        <w:t>(1), 99-125.</w:t>
      </w:r>
    </w:p>
    <w:p w14:paraId="4E0DA8E6"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Pindyck, R. S., &amp; Rotemberg, J. J. (1983). Dynamic factor demands and the effects of energy price </w:t>
      </w:r>
    </w:p>
    <w:p w14:paraId="5704AF43" w14:textId="437A8358"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shocks. </w:t>
      </w:r>
      <w:r w:rsidRPr="00E84B3A">
        <w:rPr>
          <w:i/>
          <w:iCs/>
          <w:color w:val="222222"/>
          <w:shd w:val="clear" w:color="auto" w:fill="FFFFFF"/>
        </w:rPr>
        <w:t>The American Economic Review</w:t>
      </w:r>
      <w:r w:rsidRPr="00E84B3A">
        <w:rPr>
          <w:color w:val="222222"/>
          <w:shd w:val="clear" w:color="auto" w:fill="FFFFFF"/>
        </w:rPr>
        <w:t>, </w:t>
      </w:r>
      <w:r w:rsidRPr="00E84B3A">
        <w:rPr>
          <w:i/>
          <w:iCs/>
          <w:color w:val="222222"/>
          <w:shd w:val="clear" w:color="auto" w:fill="FFFFFF"/>
        </w:rPr>
        <w:t>73</w:t>
      </w:r>
      <w:r w:rsidRPr="00E84B3A">
        <w:rPr>
          <w:color w:val="222222"/>
          <w:shd w:val="clear" w:color="auto" w:fill="FFFFFF"/>
        </w:rPr>
        <w:t>(5), 1066-1079.</w:t>
      </w:r>
    </w:p>
    <w:p w14:paraId="38489C6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Polat, B. (2018). The Influence of FDI on Energy Consumption in Developing and Developed </w:t>
      </w:r>
    </w:p>
    <w:p w14:paraId="69C492FA" w14:textId="663FCA81"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Countries: A Dynamic Panel Data Approach. </w:t>
      </w:r>
      <w:r w:rsidRPr="00E84B3A">
        <w:rPr>
          <w:i/>
          <w:iCs/>
          <w:color w:val="222222"/>
          <w:shd w:val="clear" w:color="auto" w:fill="FFFFFF"/>
        </w:rPr>
        <w:t>Journal of Yasar University</w:t>
      </w:r>
      <w:r w:rsidRPr="00E84B3A">
        <w:rPr>
          <w:color w:val="222222"/>
          <w:shd w:val="clear" w:color="auto" w:fill="FFFFFF"/>
        </w:rPr>
        <w:t>, </w:t>
      </w:r>
      <w:r w:rsidRPr="00E84B3A">
        <w:rPr>
          <w:i/>
          <w:iCs/>
          <w:color w:val="222222"/>
          <w:shd w:val="clear" w:color="auto" w:fill="FFFFFF"/>
        </w:rPr>
        <w:t>13</w:t>
      </w:r>
      <w:r w:rsidRPr="00E84B3A">
        <w:rPr>
          <w:color w:val="222222"/>
          <w:shd w:val="clear" w:color="auto" w:fill="FFFFFF"/>
        </w:rPr>
        <w:t>(49).</w:t>
      </w:r>
    </w:p>
    <w:p w14:paraId="4327E5A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Poumanyvong, P., &amp; Kaneko, S. (2010). Does urbanization lead to less energy use and lower CO2 </w:t>
      </w:r>
    </w:p>
    <w:p w14:paraId="35476167" w14:textId="70107A12"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emissions? A cross-country analysis. </w:t>
      </w:r>
      <w:r w:rsidRPr="00E84B3A">
        <w:rPr>
          <w:i/>
          <w:iCs/>
          <w:color w:val="222222"/>
          <w:shd w:val="clear" w:color="auto" w:fill="FFFFFF"/>
        </w:rPr>
        <w:t>Ecological economics</w:t>
      </w:r>
      <w:r w:rsidRPr="00E84B3A">
        <w:rPr>
          <w:color w:val="222222"/>
          <w:shd w:val="clear" w:color="auto" w:fill="FFFFFF"/>
        </w:rPr>
        <w:t>, </w:t>
      </w:r>
      <w:r w:rsidRPr="00E84B3A">
        <w:rPr>
          <w:i/>
          <w:iCs/>
          <w:color w:val="222222"/>
          <w:shd w:val="clear" w:color="auto" w:fill="FFFFFF"/>
        </w:rPr>
        <w:t>70</w:t>
      </w:r>
      <w:r w:rsidRPr="00E84B3A">
        <w:rPr>
          <w:color w:val="222222"/>
          <w:shd w:val="clear" w:color="auto" w:fill="FFFFFF"/>
        </w:rPr>
        <w:t>(2), 434-444.</w:t>
      </w:r>
    </w:p>
    <w:p w14:paraId="645F8B0C"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Rafindadi, A. A. (2015). Could the expanding economic growth and trade openness of the United </w:t>
      </w:r>
    </w:p>
    <w:p w14:paraId="0E708B6E" w14:textId="24D6ED6F"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Kingdom pose a threat to its existing energy predicaments. </w:t>
      </w:r>
      <w:r w:rsidRPr="00E84B3A">
        <w:rPr>
          <w:i/>
          <w:iCs/>
          <w:color w:val="222222"/>
          <w:shd w:val="clear" w:color="auto" w:fill="FFFFFF"/>
        </w:rPr>
        <w:t>International Journal of Energy economics and policy</w:t>
      </w:r>
      <w:r w:rsidRPr="00E84B3A">
        <w:rPr>
          <w:color w:val="222222"/>
          <w:shd w:val="clear" w:color="auto" w:fill="FFFFFF"/>
        </w:rPr>
        <w:t>, </w:t>
      </w:r>
      <w:r w:rsidRPr="00E84B3A">
        <w:rPr>
          <w:i/>
          <w:iCs/>
          <w:color w:val="222222"/>
          <w:shd w:val="clear" w:color="auto" w:fill="FFFFFF"/>
        </w:rPr>
        <w:t>5</w:t>
      </w:r>
      <w:r w:rsidRPr="00E84B3A">
        <w:rPr>
          <w:color w:val="222222"/>
          <w:shd w:val="clear" w:color="auto" w:fill="FFFFFF"/>
        </w:rPr>
        <w:t>(1), 121-137.</w:t>
      </w:r>
    </w:p>
    <w:p w14:paraId="50684A75"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Rafindadi, A. A., &amp; Ozturk, I. (2017). Dynamic effects of financial development, trade openness </w:t>
      </w:r>
    </w:p>
    <w:p w14:paraId="0EA1BABA" w14:textId="7E8BB33E"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and economic growth on energy consumption: Evidence from South Africa. </w:t>
      </w:r>
      <w:r w:rsidRPr="00E84B3A">
        <w:rPr>
          <w:i/>
          <w:iCs/>
          <w:color w:val="222222"/>
          <w:shd w:val="clear" w:color="auto" w:fill="FFFFFF"/>
        </w:rPr>
        <w:t>International Journal of Energy Economics and Policy</w:t>
      </w:r>
      <w:r w:rsidRPr="00E84B3A">
        <w:rPr>
          <w:color w:val="222222"/>
          <w:shd w:val="clear" w:color="auto" w:fill="FFFFFF"/>
        </w:rPr>
        <w:t>, </w:t>
      </w:r>
      <w:r w:rsidRPr="00E84B3A">
        <w:rPr>
          <w:i/>
          <w:iCs/>
          <w:color w:val="222222"/>
          <w:shd w:val="clear" w:color="auto" w:fill="FFFFFF"/>
        </w:rPr>
        <w:t>7</w:t>
      </w:r>
      <w:r w:rsidRPr="00E84B3A">
        <w:rPr>
          <w:color w:val="222222"/>
          <w:shd w:val="clear" w:color="auto" w:fill="FFFFFF"/>
        </w:rPr>
        <w:t>(3), 74-85.</w:t>
      </w:r>
    </w:p>
    <w:p w14:paraId="5FF4D52F"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Rasiah, R., Guptan, V., &amp; Habibullah, M. S. (2018). Evaluating the impact of financial and </w:t>
      </w:r>
    </w:p>
    <w:p w14:paraId="6D853B26" w14:textId="4D62BCE1"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lastRenderedPageBreak/>
        <w:t>economic factors on environmental degradation: A panel estimation study of selected Asean countries. </w:t>
      </w:r>
      <w:r w:rsidRPr="00E84B3A">
        <w:rPr>
          <w:i/>
          <w:iCs/>
          <w:color w:val="222222"/>
          <w:shd w:val="clear" w:color="auto" w:fill="FFFFFF"/>
        </w:rPr>
        <w:t>International Journal of Energy Economics and Policy</w:t>
      </w:r>
      <w:r w:rsidRPr="00E84B3A">
        <w:rPr>
          <w:color w:val="222222"/>
          <w:shd w:val="clear" w:color="auto" w:fill="FFFFFF"/>
        </w:rPr>
        <w:t>, </w:t>
      </w:r>
      <w:r w:rsidRPr="00E84B3A">
        <w:rPr>
          <w:i/>
          <w:iCs/>
          <w:color w:val="222222"/>
          <w:shd w:val="clear" w:color="auto" w:fill="FFFFFF"/>
        </w:rPr>
        <w:t>8</w:t>
      </w:r>
      <w:r w:rsidRPr="00E84B3A">
        <w:rPr>
          <w:color w:val="222222"/>
          <w:shd w:val="clear" w:color="auto" w:fill="FFFFFF"/>
        </w:rPr>
        <w:t>(6), 209.</w:t>
      </w:r>
    </w:p>
    <w:p w14:paraId="471F7C8C"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Rehman, A., Ozturk, I., &amp; Zhang, D. (2019). The causal connection between CO2 emissions and </w:t>
      </w:r>
    </w:p>
    <w:p w14:paraId="2B3B08E2" w14:textId="0C6CDB23"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agricultural productivity in Pakistan: empirical evidence from an autoregressive distributed lag bounds testing approach. </w:t>
      </w:r>
      <w:r w:rsidRPr="00E84B3A">
        <w:rPr>
          <w:i/>
          <w:iCs/>
          <w:color w:val="222222"/>
          <w:shd w:val="clear" w:color="auto" w:fill="FFFFFF"/>
        </w:rPr>
        <w:t>Applied Sciences</w:t>
      </w:r>
      <w:r w:rsidRPr="00E84B3A">
        <w:rPr>
          <w:color w:val="222222"/>
          <w:shd w:val="clear" w:color="auto" w:fill="FFFFFF"/>
        </w:rPr>
        <w:t>, </w:t>
      </w:r>
      <w:r w:rsidRPr="00E84B3A">
        <w:rPr>
          <w:i/>
          <w:iCs/>
          <w:color w:val="222222"/>
          <w:shd w:val="clear" w:color="auto" w:fill="FFFFFF"/>
        </w:rPr>
        <w:t>9</w:t>
      </w:r>
      <w:r w:rsidRPr="00E84B3A">
        <w:rPr>
          <w:color w:val="222222"/>
          <w:shd w:val="clear" w:color="auto" w:fill="FFFFFF"/>
        </w:rPr>
        <w:t>(8), 1692.</w:t>
      </w:r>
    </w:p>
    <w:p w14:paraId="7B4DC4DD"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Republic of Rwanda. (2020). 7 Years Government Programme: National Strategy for </w:t>
      </w:r>
    </w:p>
    <w:p w14:paraId="12D0851F" w14:textId="49EF4598"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Transformation (NST1) 2017–2024.</w:t>
      </w:r>
    </w:p>
    <w:p w14:paraId="3AC66955" w14:textId="77777777" w:rsidR="00852B59" w:rsidRDefault="00F06C44" w:rsidP="00852B59">
      <w:pPr>
        <w:spacing w:line="360" w:lineRule="auto"/>
        <w:jc w:val="both"/>
      </w:pPr>
      <w:r w:rsidRPr="00E84B3A">
        <w:t xml:space="preserve">Rwanda Energy group (REG) annual report 2020-2021.(2022) retrieved on 10 june,2022 from </w:t>
      </w:r>
    </w:p>
    <w:p w14:paraId="648FA085" w14:textId="4069ED6E" w:rsidR="00F06C44" w:rsidRPr="00E84B3A" w:rsidRDefault="00326B0D" w:rsidP="00852B59">
      <w:pPr>
        <w:spacing w:line="360" w:lineRule="auto"/>
        <w:ind w:left="720"/>
        <w:jc w:val="both"/>
      </w:pPr>
      <w:hyperlink r:id="rId21" w:history="1">
        <w:r w:rsidR="00F06C44" w:rsidRPr="00E84B3A">
          <w:rPr>
            <w:rStyle w:val="Hyperlink"/>
            <w:rFonts w:eastAsiaTheme="majorEastAsia"/>
          </w:rPr>
          <w:t>https://www.reg.rw/fileadmin/user_upload/REG_Annual_report_2021-2022.pdf</w:t>
        </w:r>
      </w:hyperlink>
    </w:p>
    <w:p w14:paraId="50138B73"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Sadorsky, P. (2010). The impact of financial development on energy consumption in emerging </w:t>
      </w:r>
    </w:p>
    <w:p w14:paraId="750DF93C" w14:textId="53C1E24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economies.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38</w:t>
      </w:r>
      <w:r w:rsidRPr="00E84B3A">
        <w:rPr>
          <w:color w:val="222222"/>
          <w:shd w:val="clear" w:color="auto" w:fill="FFFFFF"/>
        </w:rPr>
        <w:t>(5), 2528-2535.</w:t>
      </w:r>
    </w:p>
    <w:p w14:paraId="35F39D21"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Sadorsky, P. (2014). The effect of urbanization and industrialization on energy use in emerging </w:t>
      </w:r>
    </w:p>
    <w:p w14:paraId="341F7AB8" w14:textId="5421F652"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economies: implications for sustainable development. </w:t>
      </w:r>
      <w:r w:rsidRPr="00E84B3A">
        <w:rPr>
          <w:i/>
          <w:iCs/>
          <w:color w:val="222222"/>
          <w:shd w:val="clear" w:color="auto" w:fill="FFFFFF"/>
        </w:rPr>
        <w:t>American Journal of Economics and Sociology</w:t>
      </w:r>
      <w:r w:rsidRPr="00E84B3A">
        <w:rPr>
          <w:color w:val="222222"/>
          <w:shd w:val="clear" w:color="auto" w:fill="FFFFFF"/>
        </w:rPr>
        <w:t>, </w:t>
      </w:r>
      <w:r w:rsidRPr="00E84B3A">
        <w:rPr>
          <w:i/>
          <w:iCs/>
          <w:color w:val="222222"/>
          <w:shd w:val="clear" w:color="auto" w:fill="FFFFFF"/>
        </w:rPr>
        <w:t>73</w:t>
      </w:r>
      <w:r w:rsidRPr="00E84B3A">
        <w:rPr>
          <w:color w:val="222222"/>
          <w:shd w:val="clear" w:color="auto" w:fill="FFFFFF"/>
        </w:rPr>
        <w:t>(2), 392-409.</w:t>
      </w:r>
    </w:p>
    <w:p w14:paraId="0D4CC5E1"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Sadorsky, P. (2014). The effect of urbanization and industrialization on energy use in emerging </w:t>
      </w:r>
    </w:p>
    <w:p w14:paraId="36B3AB81" w14:textId="10830468"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economies: implications for su</w:t>
      </w:r>
    </w:p>
    <w:p w14:paraId="17A5852F"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Sadorsky, P. (2014). The effect of urbanization on CO2 emissions in emerging economies. </w:t>
      </w:r>
      <w:r w:rsidRPr="00E84B3A">
        <w:rPr>
          <w:i/>
          <w:iCs/>
          <w:color w:val="222222"/>
          <w:shd w:val="clear" w:color="auto" w:fill="FFFFFF"/>
        </w:rPr>
        <w:t xml:space="preserve">Energy </w:t>
      </w:r>
    </w:p>
    <w:p w14:paraId="25C7325B" w14:textId="2ABC5F6C"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economics</w:t>
      </w:r>
      <w:r w:rsidRPr="00E84B3A">
        <w:rPr>
          <w:color w:val="222222"/>
          <w:shd w:val="clear" w:color="auto" w:fill="FFFFFF"/>
        </w:rPr>
        <w:t>, </w:t>
      </w:r>
      <w:r w:rsidRPr="00E84B3A">
        <w:rPr>
          <w:i/>
          <w:iCs/>
          <w:color w:val="222222"/>
          <w:shd w:val="clear" w:color="auto" w:fill="FFFFFF"/>
        </w:rPr>
        <w:t>41</w:t>
      </w:r>
      <w:r w:rsidRPr="00E84B3A">
        <w:rPr>
          <w:color w:val="222222"/>
          <w:shd w:val="clear" w:color="auto" w:fill="FFFFFF"/>
        </w:rPr>
        <w:t>, 147-153.</w:t>
      </w:r>
    </w:p>
    <w:p w14:paraId="50E8A260"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SadorskyP(2009a)Renewable energy consumption, CO2 emissions and oil prices in the G7 </w:t>
      </w:r>
    </w:p>
    <w:p w14:paraId="65E39344" w14:textId="7B2EE3D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countries. Energy Econ 31:456–462</w:t>
      </w:r>
    </w:p>
    <w:p w14:paraId="09C496DF"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Safari, B. (2010). A review of energy in Rwanda. </w:t>
      </w:r>
      <w:r w:rsidRPr="00E84B3A">
        <w:rPr>
          <w:i/>
          <w:iCs/>
          <w:color w:val="222222"/>
          <w:shd w:val="clear" w:color="auto" w:fill="FFFFFF"/>
        </w:rPr>
        <w:t xml:space="preserve">Renewable and Sustainable Energy </w:t>
      </w:r>
    </w:p>
    <w:p w14:paraId="6695791C" w14:textId="6B17C3EF"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Reviews</w:t>
      </w:r>
      <w:r w:rsidRPr="00E84B3A">
        <w:rPr>
          <w:color w:val="222222"/>
          <w:shd w:val="clear" w:color="auto" w:fill="FFFFFF"/>
        </w:rPr>
        <w:t>, </w:t>
      </w:r>
      <w:r w:rsidRPr="00E84B3A">
        <w:rPr>
          <w:i/>
          <w:iCs/>
          <w:color w:val="222222"/>
          <w:shd w:val="clear" w:color="auto" w:fill="FFFFFF"/>
        </w:rPr>
        <w:t>14</w:t>
      </w:r>
      <w:r w:rsidRPr="00E84B3A">
        <w:rPr>
          <w:color w:val="222222"/>
          <w:shd w:val="clear" w:color="auto" w:fill="FFFFFF"/>
        </w:rPr>
        <w:t>(1), 524-529.</w:t>
      </w:r>
    </w:p>
    <w:p w14:paraId="2335BC1A"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Sahoo, M., &amp; Sethi, N. (2020). Impact of industrialization, urbanization, and financial </w:t>
      </w:r>
    </w:p>
    <w:p w14:paraId="0F54061C" w14:textId="34AE711A"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development on energy consumption: Empirical evidence from India. </w:t>
      </w:r>
      <w:r w:rsidRPr="00E84B3A">
        <w:rPr>
          <w:i/>
          <w:iCs/>
          <w:color w:val="222222"/>
          <w:shd w:val="clear" w:color="auto" w:fill="FFFFFF"/>
        </w:rPr>
        <w:t>Journal of public affairs</w:t>
      </w:r>
      <w:r w:rsidRPr="00E84B3A">
        <w:rPr>
          <w:color w:val="222222"/>
          <w:shd w:val="clear" w:color="auto" w:fill="FFFFFF"/>
        </w:rPr>
        <w:t>, </w:t>
      </w:r>
      <w:r w:rsidRPr="00E84B3A">
        <w:rPr>
          <w:i/>
          <w:iCs/>
          <w:color w:val="222222"/>
          <w:shd w:val="clear" w:color="auto" w:fill="FFFFFF"/>
        </w:rPr>
        <w:t>20</w:t>
      </w:r>
      <w:r w:rsidRPr="00E84B3A">
        <w:rPr>
          <w:color w:val="222222"/>
          <w:shd w:val="clear" w:color="auto" w:fill="FFFFFF"/>
        </w:rPr>
        <w:t>(3), e2089.</w:t>
      </w:r>
    </w:p>
    <w:p w14:paraId="0A6D3430"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Samouilidis, J. E., &amp; Mitropoulos, C. S. (1984). Energy and economic growth in industrializing </w:t>
      </w:r>
    </w:p>
    <w:p w14:paraId="257B18F8" w14:textId="001D986D"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countries: the case of Greece.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6</w:t>
      </w:r>
      <w:r w:rsidRPr="00E84B3A">
        <w:rPr>
          <w:color w:val="222222"/>
          <w:shd w:val="clear" w:color="auto" w:fill="FFFFFF"/>
        </w:rPr>
        <w:t>(3), 191-201.</w:t>
      </w:r>
    </w:p>
    <w:p w14:paraId="3ECF3C78"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Sari, R., Ewing, B. T., &amp; Soytas, U. (2008). The relationship between disaggregate energy </w:t>
      </w:r>
    </w:p>
    <w:p w14:paraId="7E79AFCA" w14:textId="052A3210"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consumption and industrial production in the United States: An ARDL approach.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30</w:t>
      </w:r>
      <w:r w:rsidRPr="00E84B3A">
        <w:rPr>
          <w:color w:val="222222"/>
          <w:shd w:val="clear" w:color="auto" w:fill="FFFFFF"/>
        </w:rPr>
        <w:t>(5), 2302-2313.</w:t>
      </w:r>
    </w:p>
    <w:p w14:paraId="413D804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Selim et al (2019) Determinants of renewable energy consumption in Africa, Springer-Verlag </w:t>
      </w:r>
    </w:p>
    <w:p w14:paraId="1D59E673" w14:textId="09BD60F6"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lastRenderedPageBreak/>
        <w:t>GmbH Germany, part of Springer Nature 2019</w:t>
      </w:r>
    </w:p>
    <w:p w14:paraId="0F43F297"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Shahbaz, M., Van Hoang, T. H., Mahalik, M. K., &amp; Roubaud, D. (2017). Energy consumption, </w:t>
      </w:r>
    </w:p>
    <w:p w14:paraId="1CEA8C3E" w14:textId="7E2FEA7E"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financial development and economic growth in India: New evidence from a nonlinear and asymmetric analysis.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63</w:t>
      </w:r>
      <w:r w:rsidRPr="00E84B3A">
        <w:rPr>
          <w:color w:val="222222"/>
          <w:shd w:val="clear" w:color="auto" w:fill="FFFFFF"/>
        </w:rPr>
        <w:t>, 199-212.</w:t>
      </w:r>
    </w:p>
    <w:p w14:paraId="07329EC8"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Smulders, S., &amp; De Nooij, M. (2003). The impact of energy conservation on technology and </w:t>
      </w:r>
    </w:p>
    <w:p w14:paraId="6D12DE6B" w14:textId="25429A9F"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economic growth. </w:t>
      </w:r>
      <w:r w:rsidRPr="00E84B3A">
        <w:rPr>
          <w:i/>
          <w:iCs/>
          <w:color w:val="222222"/>
          <w:shd w:val="clear" w:color="auto" w:fill="FFFFFF"/>
        </w:rPr>
        <w:t>Resource and Energy Economics</w:t>
      </w:r>
      <w:r w:rsidRPr="00E84B3A">
        <w:rPr>
          <w:color w:val="222222"/>
          <w:shd w:val="clear" w:color="auto" w:fill="FFFFFF"/>
        </w:rPr>
        <w:t>, </w:t>
      </w:r>
      <w:r w:rsidRPr="00E84B3A">
        <w:rPr>
          <w:i/>
          <w:iCs/>
          <w:color w:val="222222"/>
          <w:shd w:val="clear" w:color="auto" w:fill="FFFFFF"/>
        </w:rPr>
        <w:t>25</w:t>
      </w:r>
      <w:r w:rsidRPr="00E84B3A">
        <w:rPr>
          <w:color w:val="222222"/>
          <w:shd w:val="clear" w:color="auto" w:fill="FFFFFF"/>
        </w:rPr>
        <w:t>(1), 59-79.</w:t>
      </w:r>
    </w:p>
    <w:p w14:paraId="60C8591F"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Solow, J. L. (1987). The capital-energy complementarity debate revisited. </w:t>
      </w:r>
      <w:r w:rsidRPr="00E84B3A">
        <w:rPr>
          <w:i/>
          <w:iCs/>
          <w:color w:val="222222"/>
          <w:shd w:val="clear" w:color="auto" w:fill="FFFFFF"/>
        </w:rPr>
        <w:t xml:space="preserve">The American </w:t>
      </w:r>
    </w:p>
    <w:p w14:paraId="07EB9C0C" w14:textId="23C1E704"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Economic Review</w:t>
      </w:r>
      <w:r w:rsidRPr="00E84B3A">
        <w:rPr>
          <w:color w:val="222222"/>
          <w:shd w:val="clear" w:color="auto" w:fill="FFFFFF"/>
        </w:rPr>
        <w:t>, 605-614.</w:t>
      </w:r>
    </w:p>
    <w:p w14:paraId="042A833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Soytas, U., &amp; Sari, R. (2003). Energy consumption and GDP: causality relationship in G-7 </w:t>
      </w:r>
    </w:p>
    <w:p w14:paraId="74CE1E7F" w14:textId="5585AC29"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countries and emerging markets. </w:t>
      </w:r>
      <w:r w:rsidRPr="00E84B3A">
        <w:rPr>
          <w:i/>
          <w:iCs/>
          <w:color w:val="222222"/>
          <w:shd w:val="clear" w:color="auto" w:fill="FFFFFF"/>
        </w:rPr>
        <w:t>Energy economics</w:t>
      </w:r>
      <w:r w:rsidRPr="00E84B3A">
        <w:rPr>
          <w:color w:val="222222"/>
          <w:shd w:val="clear" w:color="auto" w:fill="FFFFFF"/>
        </w:rPr>
        <w:t>, </w:t>
      </w:r>
      <w:r w:rsidRPr="00E84B3A">
        <w:rPr>
          <w:i/>
          <w:iCs/>
          <w:color w:val="222222"/>
          <w:shd w:val="clear" w:color="auto" w:fill="FFFFFF"/>
        </w:rPr>
        <w:t>25</w:t>
      </w:r>
      <w:r w:rsidRPr="00E84B3A">
        <w:rPr>
          <w:color w:val="222222"/>
          <w:shd w:val="clear" w:color="auto" w:fill="FFFFFF"/>
        </w:rPr>
        <w:t>(1), 33-37.</w:t>
      </w:r>
    </w:p>
    <w:p w14:paraId="2274D970" w14:textId="77777777" w:rsidR="00F06C44" w:rsidRPr="00E84B3A" w:rsidRDefault="00F06C44" w:rsidP="00852B59">
      <w:pPr>
        <w:spacing w:line="360" w:lineRule="auto"/>
        <w:jc w:val="both"/>
        <w:rPr>
          <w:color w:val="222222"/>
          <w:shd w:val="clear" w:color="auto" w:fill="FFFFFF"/>
        </w:rPr>
      </w:pPr>
      <w:r w:rsidRPr="00E84B3A">
        <w:rPr>
          <w:color w:val="222222"/>
          <w:shd w:val="clear" w:color="auto" w:fill="FFFFFF"/>
        </w:rPr>
        <w:t>stainable development. </w:t>
      </w:r>
      <w:r w:rsidRPr="00E84B3A">
        <w:rPr>
          <w:i/>
          <w:iCs/>
          <w:color w:val="222222"/>
          <w:shd w:val="clear" w:color="auto" w:fill="FFFFFF"/>
        </w:rPr>
        <w:t>American Journal of Economics and Sociology</w:t>
      </w:r>
      <w:r w:rsidRPr="00E84B3A">
        <w:rPr>
          <w:color w:val="222222"/>
          <w:shd w:val="clear" w:color="auto" w:fill="FFFFFF"/>
        </w:rPr>
        <w:t>, </w:t>
      </w:r>
      <w:r w:rsidRPr="00E84B3A">
        <w:rPr>
          <w:i/>
          <w:iCs/>
          <w:color w:val="222222"/>
          <w:shd w:val="clear" w:color="auto" w:fill="FFFFFF"/>
        </w:rPr>
        <w:t>73</w:t>
      </w:r>
      <w:r w:rsidRPr="00E84B3A">
        <w:rPr>
          <w:color w:val="222222"/>
          <w:shd w:val="clear" w:color="auto" w:fill="FFFFFF"/>
        </w:rPr>
        <w:t>(2), 392-409.</w:t>
      </w:r>
    </w:p>
    <w:p w14:paraId="095A3F5A" w14:textId="77777777" w:rsidR="00852B59" w:rsidRDefault="00F06C44" w:rsidP="00852B59">
      <w:pPr>
        <w:spacing w:line="360" w:lineRule="auto"/>
        <w:jc w:val="both"/>
        <w:rPr>
          <w:i/>
          <w:iCs/>
          <w:color w:val="222222"/>
          <w:shd w:val="clear" w:color="auto" w:fill="FFFFFF"/>
        </w:rPr>
      </w:pPr>
      <w:r w:rsidRPr="00E84B3A">
        <w:rPr>
          <w:color w:val="222222"/>
          <w:shd w:val="clear" w:color="auto" w:fill="FFFFFF"/>
        </w:rPr>
        <w:t>Stern, P. C. (1999). Information, incentives, and proenvironmental consumer behavior. </w:t>
      </w:r>
      <w:r w:rsidRPr="00E84B3A">
        <w:rPr>
          <w:i/>
          <w:iCs/>
          <w:color w:val="222222"/>
          <w:shd w:val="clear" w:color="auto" w:fill="FFFFFF"/>
        </w:rPr>
        <w:t xml:space="preserve">Journal of </w:t>
      </w:r>
    </w:p>
    <w:p w14:paraId="77C6555B" w14:textId="1C3DC925" w:rsidR="00F06C44" w:rsidRPr="00E84B3A" w:rsidRDefault="00F06C44" w:rsidP="00852B59">
      <w:pPr>
        <w:spacing w:line="360" w:lineRule="auto"/>
        <w:ind w:left="720"/>
        <w:jc w:val="both"/>
        <w:rPr>
          <w:color w:val="222222"/>
          <w:shd w:val="clear" w:color="auto" w:fill="FFFFFF"/>
        </w:rPr>
      </w:pPr>
      <w:r w:rsidRPr="00E84B3A">
        <w:rPr>
          <w:i/>
          <w:iCs/>
          <w:color w:val="222222"/>
          <w:shd w:val="clear" w:color="auto" w:fill="FFFFFF"/>
        </w:rPr>
        <w:t>consumer Policy</w:t>
      </w:r>
      <w:r w:rsidRPr="00E84B3A">
        <w:rPr>
          <w:color w:val="222222"/>
          <w:shd w:val="clear" w:color="auto" w:fill="FFFFFF"/>
        </w:rPr>
        <w:t>, </w:t>
      </w:r>
      <w:r w:rsidRPr="00E84B3A">
        <w:rPr>
          <w:i/>
          <w:iCs/>
          <w:color w:val="222222"/>
          <w:shd w:val="clear" w:color="auto" w:fill="FFFFFF"/>
        </w:rPr>
        <w:t>22</w:t>
      </w:r>
      <w:r w:rsidRPr="00E84B3A">
        <w:rPr>
          <w:color w:val="222222"/>
          <w:shd w:val="clear" w:color="auto" w:fill="FFFFFF"/>
        </w:rPr>
        <w:t>(4), 461-478.</w:t>
      </w:r>
    </w:p>
    <w:p w14:paraId="5F98E06D"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Tang, C. F. (2008). A re-examination of the relationship between electricity consumption and </w:t>
      </w:r>
    </w:p>
    <w:p w14:paraId="0EC582B1" w14:textId="62D34F5F"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economic growth in Malaysia.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36</w:t>
      </w:r>
      <w:r w:rsidRPr="00E84B3A">
        <w:rPr>
          <w:color w:val="222222"/>
          <w:shd w:val="clear" w:color="auto" w:fill="FFFFFF"/>
        </w:rPr>
        <w:t>(8), 3077-3085.</w:t>
      </w:r>
    </w:p>
    <w:p w14:paraId="1C67D0C4"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Tang, C. F. (2009). Electricity consumption, income, foreign direct investment, and population in </w:t>
      </w:r>
    </w:p>
    <w:p w14:paraId="4A3372E1" w14:textId="4CBA269A"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Malaysia: New evidence from multivariate framework analysis. </w:t>
      </w:r>
      <w:r w:rsidRPr="00E84B3A">
        <w:rPr>
          <w:i/>
          <w:iCs/>
          <w:color w:val="222222"/>
          <w:shd w:val="clear" w:color="auto" w:fill="FFFFFF"/>
        </w:rPr>
        <w:t>Journal of Economic Studies</w:t>
      </w:r>
      <w:r w:rsidRPr="00E84B3A">
        <w:rPr>
          <w:color w:val="222222"/>
          <w:shd w:val="clear" w:color="auto" w:fill="FFFFFF"/>
        </w:rPr>
        <w:t>.</w:t>
      </w:r>
    </w:p>
    <w:p w14:paraId="153EDEC8" w14:textId="77777777" w:rsidR="00852B59" w:rsidRDefault="00F06C44" w:rsidP="00852B59">
      <w:pPr>
        <w:spacing w:line="360" w:lineRule="auto"/>
        <w:jc w:val="both"/>
      </w:pPr>
      <w:r w:rsidRPr="00E84B3A">
        <w:t xml:space="preserve">World Bank.( 2022)outsourced from world Bank Dataset, Retrieved from </w:t>
      </w:r>
    </w:p>
    <w:p w14:paraId="32CAEC85" w14:textId="7DC1F772" w:rsidR="00F06C44" w:rsidRPr="00E84B3A" w:rsidRDefault="00F06C44" w:rsidP="00852B59">
      <w:pPr>
        <w:spacing w:line="360" w:lineRule="auto"/>
        <w:ind w:left="720"/>
        <w:jc w:val="both"/>
        <w:rPr>
          <w:color w:val="222222"/>
          <w:shd w:val="clear" w:color="auto" w:fill="FFFFFF"/>
        </w:rPr>
      </w:pPr>
      <w:r w:rsidRPr="00E84B3A">
        <w:t>:https://databank.worldbank.org/source/world-development-indicators assessed on 08</w:t>
      </w:r>
      <w:r w:rsidRPr="00E84B3A">
        <w:rPr>
          <w:vertAlign w:val="superscript"/>
        </w:rPr>
        <w:t>th</w:t>
      </w:r>
      <w:r w:rsidRPr="00E84B3A">
        <w:t xml:space="preserve"> august 2022</w:t>
      </w:r>
      <w:r w:rsidRPr="00E84B3A">
        <w:rPr>
          <w:color w:val="222222"/>
          <w:shd w:val="clear" w:color="auto" w:fill="FFFFFF"/>
        </w:rPr>
        <w:t>.</w:t>
      </w:r>
    </w:p>
    <w:p w14:paraId="4F83A6D7" w14:textId="77777777" w:rsidR="00852B59" w:rsidRDefault="00F06C44" w:rsidP="00852B59">
      <w:pPr>
        <w:spacing w:line="360" w:lineRule="auto"/>
        <w:jc w:val="both"/>
      </w:pPr>
      <w:r w:rsidRPr="00E84B3A">
        <w:t xml:space="preserve">Wu, X. F., &amp; Chen, G. Q. (2017). Global primary energy use associated with production, </w:t>
      </w:r>
    </w:p>
    <w:p w14:paraId="2DE0686F" w14:textId="21658A9F" w:rsidR="00F06C44" w:rsidRPr="00E84B3A" w:rsidRDefault="00F06C44" w:rsidP="00852B59">
      <w:pPr>
        <w:spacing w:line="360" w:lineRule="auto"/>
        <w:ind w:left="720"/>
        <w:jc w:val="both"/>
      </w:pPr>
      <w:r w:rsidRPr="00E84B3A">
        <w:t>consumption and international trade. Energy Policy, 111, 85-94.</w:t>
      </w:r>
    </w:p>
    <w:p w14:paraId="04B71F5C" w14:textId="77777777" w:rsidR="00852B59" w:rsidRDefault="00F06C44" w:rsidP="00852B59">
      <w:pPr>
        <w:spacing w:line="360" w:lineRule="auto"/>
        <w:jc w:val="both"/>
      </w:pPr>
      <w:r w:rsidRPr="00E84B3A">
        <w:t>York, R. (2007). Demographic trends and energy consumption in European Union Nations, 1960–</w:t>
      </w:r>
    </w:p>
    <w:p w14:paraId="1513340E" w14:textId="31437A49" w:rsidR="00F06C44" w:rsidRPr="00E84B3A" w:rsidRDefault="00F06C44" w:rsidP="00852B59">
      <w:pPr>
        <w:spacing w:line="360" w:lineRule="auto"/>
        <w:ind w:left="720"/>
        <w:jc w:val="both"/>
      </w:pPr>
      <w:r w:rsidRPr="00E84B3A">
        <w:t>2025. Social science research, 36(3), 855-872.</w:t>
      </w:r>
    </w:p>
    <w:p w14:paraId="1ED7BA4A" w14:textId="77777777" w:rsidR="00852B59" w:rsidRDefault="00F06C44" w:rsidP="00852B59">
      <w:pPr>
        <w:spacing w:line="360" w:lineRule="auto"/>
        <w:jc w:val="both"/>
        <w:rPr>
          <w:color w:val="222222"/>
          <w:shd w:val="clear" w:color="auto" w:fill="FFFFFF"/>
        </w:rPr>
      </w:pPr>
      <w:r w:rsidRPr="00E84B3A">
        <w:rPr>
          <w:color w:val="222222"/>
          <w:shd w:val="clear" w:color="auto" w:fill="FFFFFF"/>
        </w:rPr>
        <w:t xml:space="preserve">Zaman, K., Khan, M. M., Ahmad, M., &amp; Rustam, R. (2012). Determinants of electricity </w:t>
      </w:r>
    </w:p>
    <w:p w14:paraId="1CC0CCBD" w14:textId="6DC0F72F" w:rsidR="00F06C44" w:rsidRPr="00E84B3A" w:rsidRDefault="00F06C44" w:rsidP="00852B59">
      <w:pPr>
        <w:spacing w:line="360" w:lineRule="auto"/>
        <w:ind w:left="720"/>
        <w:jc w:val="both"/>
        <w:rPr>
          <w:color w:val="222222"/>
          <w:shd w:val="clear" w:color="auto" w:fill="FFFFFF"/>
        </w:rPr>
      </w:pPr>
      <w:r w:rsidRPr="00E84B3A">
        <w:rPr>
          <w:color w:val="222222"/>
          <w:shd w:val="clear" w:color="auto" w:fill="FFFFFF"/>
        </w:rPr>
        <w:t>consumption function in Pakistan: Old wine in a new bottle. </w:t>
      </w:r>
      <w:r w:rsidRPr="00E84B3A">
        <w:rPr>
          <w:i/>
          <w:iCs/>
          <w:color w:val="222222"/>
          <w:shd w:val="clear" w:color="auto" w:fill="FFFFFF"/>
        </w:rPr>
        <w:t>Energy Policy</w:t>
      </w:r>
      <w:r w:rsidRPr="00E84B3A">
        <w:rPr>
          <w:color w:val="222222"/>
          <w:shd w:val="clear" w:color="auto" w:fill="FFFFFF"/>
        </w:rPr>
        <w:t>, </w:t>
      </w:r>
      <w:r w:rsidRPr="00E84B3A">
        <w:rPr>
          <w:i/>
          <w:iCs/>
          <w:color w:val="222222"/>
          <w:shd w:val="clear" w:color="auto" w:fill="FFFFFF"/>
        </w:rPr>
        <w:t>50</w:t>
      </w:r>
      <w:r w:rsidRPr="00E84B3A">
        <w:rPr>
          <w:color w:val="222222"/>
          <w:shd w:val="clear" w:color="auto" w:fill="FFFFFF"/>
        </w:rPr>
        <w:t>, 623-634.</w:t>
      </w:r>
    </w:p>
    <w:p w14:paraId="1A50DC3E" w14:textId="77777777" w:rsidR="00F06C44" w:rsidRPr="0085125A" w:rsidRDefault="00F06C44" w:rsidP="00852B59">
      <w:pPr>
        <w:spacing w:line="360" w:lineRule="auto"/>
        <w:jc w:val="both"/>
      </w:pPr>
    </w:p>
    <w:sectPr w:rsidR="00F06C44" w:rsidRPr="0085125A" w:rsidSect="00610FEC">
      <w:type w:val="even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DFCE" w14:textId="77777777" w:rsidR="00326B0D" w:rsidRDefault="00326B0D" w:rsidP="002A4FBC">
      <w:r>
        <w:separator/>
      </w:r>
    </w:p>
  </w:endnote>
  <w:endnote w:type="continuationSeparator" w:id="0">
    <w:p w14:paraId="29641959" w14:textId="77777777" w:rsidR="00326B0D" w:rsidRDefault="00326B0D" w:rsidP="002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e692faf0+fb">
    <w:altName w:val="Times New Roman"/>
    <w:panose1 w:val="00000000000000000000"/>
    <w:charset w:val="00"/>
    <w:family w:val="roman"/>
    <w:notTrueType/>
    <w:pitch w:val="default"/>
    <w:sig w:usb0="00000003" w:usb1="00000000" w:usb2="00000000" w:usb3="00000000" w:csb0="00000001" w:csb1="00000000"/>
  </w:font>
  <w:font w:name="AdvTTe692faf0+03">
    <w:altName w:val="Times New Roman"/>
    <w:panose1 w:val="00000000000000000000"/>
    <w:charset w:val="00"/>
    <w:family w:val="roman"/>
    <w:notTrueType/>
    <w:pitch w:val="default"/>
  </w:font>
  <w:font w:name="AdvTTe692faf0+2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
    <w:altName w:val="Times New Roman"/>
    <w:panose1 w:val="00000000000000000000"/>
    <w:charset w:val="00"/>
    <w:family w:val="roman"/>
    <w:notTrueType/>
    <w:pitch w:val="default"/>
  </w:font>
  <w:font w:name="URWPalladioL-Rom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06BE" w14:textId="77777777" w:rsidR="00326B0D" w:rsidRDefault="00326B0D" w:rsidP="002A4FBC">
      <w:r>
        <w:separator/>
      </w:r>
    </w:p>
  </w:footnote>
  <w:footnote w:type="continuationSeparator" w:id="0">
    <w:p w14:paraId="2C2C7522" w14:textId="77777777" w:rsidR="00326B0D" w:rsidRDefault="00326B0D" w:rsidP="002A4FBC">
      <w:r>
        <w:continuationSeparator/>
      </w:r>
    </w:p>
  </w:footnote>
  <w:footnote w:id="1">
    <w:p w14:paraId="6ECA446E" w14:textId="77777777" w:rsidR="001A3189" w:rsidRPr="00F917CB" w:rsidRDefault="001A3189" w:rsidP="002A4FBC">
      <w:pPr>
        <w:pStyle w:val="FootnoteText"/>
        <w:rPr>
          <w:sz w:val="18"/>
          <w:szCs w:val="18"/>
          <w:lang w:val="en-GB"/>
        </w:rPr>
      </w:pPr>
      <w:r w:rsidRPr="00F917CB">
        <w:rPr>
          <w:rStyle w:val="FootnoteReference"/>
          <w:sz w:val="18"/>
          <w:szCs w:val="18"/>
        </w:rPr>
        <w:footnoteRef/>
      </w:r>
      <w:r w:rsidRPr="00F917CB">
        <w:rPr>
          <w:sz w:val="18"/>
          <w:szCs w:val="18"/>
        </w:rPr>
        <w:t xml:space="preserve"> Gulasekaran Rajaguru and Safdar Ullah Khan (2021), Causality between Energy Consumption and Economic Growth in the Presence of Growth Volatility: Multi-Country Evidence</w:t>
      </w:r>
      <w:r>
        <w:rPr>
          <w:sz w:val="18"/>
          <w:szCs w:val="18"/>
        </w:rPr>
        <w:t xml:space="preserve">  </w:t>
      </w:r>
    </w:p>
  </w:footnote>
  <w:footnote w:id="2">
    <w:p w14:paraId="60B018DC" w14:textId="77777777" w:rsidR="001A3189" w:rsidRPr="0002493B" w:rsidRDefault="001A3189" w:rsidP="002A4FBC">
      <w:pPr>
        <w:pStyle w:val="FootnoteText"/>
        <w:rPr>
          <w:sz w:val="18"/>
          <w:szCs w:val="18"/>
        </w:rPr>
      </w:pPr>
      <w:r w:rsidRPr="0002493B">
        <w:rPr>
          <w:rStyle w:val="FootnoteReference"/>
          <w:sz w:val="18"/>
          <w:szCs w:val="18"/>
        </w:rPr>
        <w:footnoteRef/>
      </w:r>
      <w:r w:rsidRPr="0002493B">
        <w:rPr>
          <w:sz w:val="18"/>
          <w:szCs w:val="18"/>
        </w:rPr>
        <w:t xml:space="preserve"> Total final Energy Consumption</w:t>
      </w:r>
    </w:p>
    <w:p w14:paraId="5EB69526" w14:textId="77777777" w:rsidR="001A3189" w:rsidRPr="00DE584F" w:rsidRDefault="001A3189" w:rsidP="002A4FBC">
      <w:pPr>
        <w:pStyle w:val="FootnoteText"/>
        <w:rPr>
          <w:sz w:val="24"/>
          <w:szCs w:val="24"/>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8634"/>
      <w:docPartObj>
        <w:docPartGallery w:val="Page Numbers (Top of Page)"/>
        <w:docPartUnique/>
      </w:docPartObj>
    </w:sdtPr>
    <w:sdtEndPr>
      <w:rPr>
        <w:noProof/>
      </w:rPr>
    </w:sdtEndPr>
    <w:sdtContent>
      <w:p w14:paraId="520E61FA" w14:textId="1BDA67D3" w:rsidR="001A3189" w:rsidRDefault="001A3189">
        <w:pPr>
          <w:pStyle w:val="Header"/>
          <w:jc w:val="center"/>
        </w:pPr>
        <w:r>
          <w:fldChar w:fldCharType="begin"/>
        </w:r>
        <w:r>
          <w:instrText xml:space="preserve"> PAGE   \* MERGEFORMAT </w:instrText>
        </w:r>
        <w:r>
          <w:fldChar w:fldCharType="separate"/>
        </w:r>
        <w:r w:rsidR="00D3109A">
          <w:rPr>
            <w:noProof/>
          </w:rPr>
          <w:t>0</w:t>
        </w:r>
        <w:r>
          <w:rPr>
            <w:noProof/>
          </w:rPr>
          <w:fldChar w:fldCharType="end"/>
        </w:r>
      </w:p>
    </w:sdtContent>
  </w:sdt>
  <w:p w14:paraId="6E49086A" w14:textId="7DCD8FB1" w:rsidR="001A3189" w:rsidRDefault="001A3189" w:rsidP="002A4FBC">
    <w:pPr>
      <w:pStyle w:val="Header"/>
      <w:tabs>
        <w:tab w:val="clear" w:pos="4680"/>
        <w:tab w:val="clear" w:pos="9360"/>
        <w:tab w:val="left" w:pos="71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211"/>
    <w:multiLevelType w:val="hybridMultilevel"/>
    <w:tmpl w:val="E7BC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0D71"/>
    <w:multiLevelType w:val="multilevel"/>
    <w:tmpl w:val="E2A46474"/>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wMDUxNTI0tLCwtDBV0lEKTi0uzszPAykwrwUAtGFA0iwAAAA="/>
  </w:docVars>
  <w:rsids>
    <w:rsidRoot w:val="002A4FBC"/>
    <w:rsid w:val="00013CCE"/>
    <w:rsid w:val="000230CA"/>
    <w:rsid w:val="0002493B"/>
    <w:rsid w:val="00026D9A"/>
    <w:rsid w:val="000313FD"/>
    <w:rsid w:val="00057AD8"/>
    <w:rsid w:val="00061622"/>
    <w:rsid w:val="000770B7"/>
    <w:rsid w:val="000F7184"/>
    <w:rsid w:val="0010767F"/>
    <w:rsid w:val="00135A44"/>
    <w:rsid w:val="00136B05"/>
    <w:rsid w:val="00141948"/>
    <w:rsid w:val="00146FB2"/>
    <w:rsid w:val="00156BDF"/>
    <w:rsid w:val="001A3189"/>
    <w:rsid w:val="001B757C"/>
    <w:rsid w:val="001C2292"/>
    <w:rsid w:val="001D67CF"/>
    <w:rsid w:val="001E6F9F"/>
    <w:rsid w:val="001F0AF6"/>
    <w:rsid w:val="00205143"/>
    <w:rsid w:val="00212CEE"/>
    <w:rsid w:val="00213213"/>
    <w:rsid w:val="00221E1C"/>
    <w:rsid w:val="00225596"/>
    <w:rsid w:val="002502E5"/>
    <w:rsid w:val="002553A2"/>
    <w:rsid w:val="00266583"/>
    <w:rsid w:val="00283303"/>
    <w:rsid w:val="0028735D"/>
    <w:rsid w:val="002A4FBC"/>
    <w:rsid w:val="002B26B5"/>
    <w:rsid w:val="002B28FA"/>
    <w:rsid w:val="002D0B99"/>
    <w:rsid w:val="002D2B40"/>
    <w:rsid w:val="002E7A08"/>
    <w:rsid w:val="002F73C0"/>
    <w:rsid w:val="00326B0D"/>
    <w:rsid w:val="00356770"/>
    <w:rsid w:val="003773D6"/>
    <w:rsid w:val="003B4B04"/>
    <w:rsid w:val="003B7EBD"/>
    <w:rsid w:val="003C0604"/>
    <w:rsid w:val="004068B3"/>
    <w:rsid w:val="00407B44"/>
    <w:rsid w:val="00426B7C"/>
    <w:rsid w:val="0043463C"/>
    <w:rsid w:val="0044546F"/>
    <w:rsid w:val="004651BE"/>
    <w:rsid w:val="004757EA"/>
    <w:rsid w:val="00481A18"/>
    <w:rsid w:val="00491ADA"/>
    <w:rsid w:val="004946AA"/>
    <w:rsid w:val="004A28FD"/>
    <w:rsid w:val="004D2DE8"/>
    <w:rsid w:val="004D50B4"/>
    <w:rsid w:val="004D5AC8"/>
    <w:rsid w:val="004E1620"/>
    <w:rsid w:val="004E650D"/>
    <w:rsid w:val="005507C0"/>
    <w:rsid w:val="00557EE4"/>
    <w:rsid w:val="00562C57"/>
    <w:rsid w:val="005917FE"/>
    <w:rsid w:val="005A7309"/>
    <w:rsid w:val="005B17F8"/>
    <w:rsid w:val="005C7EFF"/>
    <w:rsid w:val="005E1A41"/>
    <w:rsid w:val="005F7F63"/>
    <w:rsid w:val="00610FEC"/>
    <w:rsid w:val="00620794"/>
    <w:rsid w:val="00622BCE"/>
    <w:rsid w:val="0063458E"/>
    <w:rsid w:val="0064480E"/>
    <w:rsid w:val="00654497"/>
    <w:rsid w:val="00670C4C"/>
    <w:rsid w:val="006741C4"/>
    <w:rsid w:val="00682364"/>
    <w:rsid w:val="00694967"/>
    <w:rsid w:val="006D2A11"/>
    <w:rsid w:val="006F3E73"/>
    <w:rsid w:val="006F74A8"/>
    <w:rsid w:val="007124BC"/>
    <w:rsid w:val="00730E60"/>
    <w:rsid w:val="007417C2"/>
    <w:rsid w:val="00751F00"/>
    <w:rsid w:val="0075475A"/>
    <w:rsid w:val="00755FA9"/>
    <w:rsid w:val="00777D00"/>
    <w:rsid w:val="007B57F9"/>
    <w:rsid w:val="007D7BE1"/>
    <w:rsid w:val="007F30FD"/>
    <w:rsid w:val="00816AFE"/>
    <w:rsid w:val="00817877"/>
    <w:rsid w:val="00823109"/>
    <w:rsid w:val="00827F9E"/>
    <w:rsid w:val="0085125A"/>
    <w:rsid w:val="00852B59"/>
    <w:rsid w:val="008718DC"/>
    <w:rsid w:val="0087203F"/>
    <w:rsid w:val="008808DD"/>
    <w:rsid w:val="008843D2"/>
    <w:rsid w:val="00887939"/>
    <w:rsid w:val="0089194A"/>
    <w:rsid w:val="00896E71"/>
    <w:rsid w:val="008A4972"/>
    <w:rsid w:val="008A7D72"/>
    <w:rsid w:val="008B20AE"/>
    <w:rsid w:val="008F0F4B"/>
    <w:rsid w:val="008F35B9"/>
    <w:rsid w:val="00906C1D"/>
    <w:rsid w:val="00920EE8"/>
    <w:rsid w:val="00943B64"/>
    <w:rsid w:val="0097040B"/>
    <w:rsid w:val="009B6237"/>
    <w:rsid w:val="009B6DAE"/>
    <w:rsid w:val="009B6ECB"/>
    <w:rsid w:val="009F70FE"/>
    <w:rsid w:val="00A5271C"/>
    <w:rsid w:val="00A73F5D"/>
    <w:rsid w:val="00A816C0"/>
    <w:rsid w:val="00A827DD"/>
    <w:rsid w:val="00A91EF1"/>
    <w:rsid w:val="00A97126"/>
    <w:rsid w:val="00A97906"/>
    <w:rsid w:val="00AA1B3C"/>
    <w:rsid w:val="00AB5573"/>
    <w:rsid w:val="00AF672F"/>
    <w:rsid w:val="00B17A2A"/>
    <w:rsid w:val="00B36957"/>
    <w:rsid w:val="00B37021"/>
    <w:rsid w:val="00B417EC"/>
    <w:rsid w:val="00B817C3"/>
    <w:rsid w:val="00B83FB1"/>
    <w:rsid w:val="00B86F6B"/>
    <w:rsid w:val="00BC558C"/>
    <w:rsid w:val="00BC73A6"/>
    <w:rsid w:val="00BD3F4B"/>
    <w:rsid w:val="00BD4277"/>
    <w:rsid w:val="00BE43FB"/>
    <w:rsid w:val="00BF7164"/>
    <w:rsid w:val="00C075AE"/>
    <w:rsid w:val="00C4607E"/>
    <w:rsid w:val="00C5445F"/>
    <w:rsid w:val="00C63D53"/>
    <w:rsid w:val="00C65FD5"/>
    <w:rsid w:val="00CB21C7"/>
    <w:rsid w:val="00CB43A6"/>
    <w:rsid w:val="00CC2C62"/>
    <w:rsid w:val="00CE68E2"/>
    <w:rsid w:val="00CF2A5C"/>
    <w:rsid w:val="00CF5801"/>
    <w:rsid w:val="00D069E9"/>
    <w:rsid w:val="00D118DC"/>
    <w:rsid w:val="00D279EF"/>
    <w:rsid w:val="00D3109A"/>
    <w:rsid w:val="00D5104D"/>
    <w:rsid w:val="00D6357F"/>
    <w:rsid w:val="00D72400"/>
    <w:rsid w:val="00D76D53"/>
    <w:rsid w:val="00D8582A"/>
    <w:rsid w:val="00D908AE"/>
    <w:rsid w:val="00D94E25"/>
    <w:rsid w:val="00DB0803"/>
    <w:rsid w:val="00DD16C3"/>
    <w:rsid w:val="00E02D10"/>
    <w:rsid w:val="00E12C06"/>
    <w:rsid w:val="00E15767"/>
    <w:rsid w:val="00E26AD0"/>
    <w:rsid w:val="00E41968"/>
    <w:rsid w:val="00E43DAE"/>
    <w:rsid w:val="00E71559"/>
    <w:rsid w:val="00E71984"/>
    <w:rsid w:val="00E74F08"/>
    <w:rsid w:val="00E770FA"/>
    <w:rsid w:val="00E77891"/>
    <w:rsid w:val="00E92C05"/>
    <w:rsid w:val="00E93D91"/>
    <w:rsid w:val="00EA1946"/>
    <w:rsid w:val="00EA3003"/>
    <w:rsid w:val="00ED0194"/>
    <w:rsid w:val="00F0265F"/>
    <w:rsid w:val="00F06A23"/>
    <w:rsid w:val="00F06C44"/>
    <w:rsid w:val="00F42D1C"/>
    <w:rsid w:val="00F5154F"/>
    <w:rsid w:val="00F60AB7"/>
    <w:rsid w:val="00F748D2"/>
    <w:rsid w:val="00FA28B9"/>
    <w:rsid w:val="00FA29DA"/>
    <w:rsid w:val="00FB2DBE"/>
    <w:rsid w:val="00FC6438"/>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7ED742"/>
  <w15:chartTrackingRefBased/>
  <w15:docId w15:val="{70CDD410-CB45-4998-827B-3757A738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4F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4FB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4FBC"/>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F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4F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4FBC"/>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2A4FBC"/>
  </w:style>
  <w:style w:type="paragraph" w:styleId="CommentText">
    <w:name w:val="annotation text"/>
    <w:basedOn w:val="Normal"/>
    <w:link w:val="CommentTextChar"/>
    <w:uiPriority w:val="99"/>
    <w:unhideWhenUsed/>
    <w:rsid w:val="002A4FBC"/>
    <w:pPr>
      <w:spacing w:after="200"/>
    </w:pPr>
    <w:rPr>
      <w:sz w:val="20"/>
      <w:szCs w:val="20"/>
      <w:lang w:val="en-ZA"/>
    </w:rPr>
  </w:style>
  <w:style w:type="character" w:customStyle="1" w:styleId="CommentTextChar">
    <w:name w:val="Comment Text Char"/>
    <w:basedOn w:val="DefaultParagraphFont"/>
    <w:link w:val="CommentText"/>
    <w:uiPriority w:val="99"/>
    <w:rsid w:val="002A4FBC"/>
    <w:rPr>
      <w:sz w:val="20"/>
      <w:szCs w:val="20"/>
      <w:lang w:val="en-ZA"/>
    </w:rPr>
  </w:style>
  <w:style w:type="character" w:customStyle="1" w:styleId="fontstyle01">
    <w:name w:val="fontstyle01"/>
    <w:basedOn w:val="DefaultParagraphFont"/>
    <w:rsid w:val="002A4FBC"/>
    <w:rPr>
      <w:rFonts w:ascii="Calibri" w:hAnsi="Calibri" w:cs="Calibri" w:hint="default"/>
      <w:b w:val="0"/>
      <w:bCs w:val="0"/>
      <w:i w:val="0"/>
      <w:iCs w:val="0"/>
      <w:color w:val="000000"/>
      <w:sz w:val="24"/>
      <w:szCs w:val="24"/>
    </w:rPr>
  </w:style>
  <w:style w:type="character" w:styleId="CommentReference">
    <w:name w:val="annotation reference"/>
    <w:basedOn w:val="DefaultParagraphFont"/>
    <w:uiPriority w:val="99"/>
    <w:semiHidden/>
    <w:unhideWhenUsed/>
    <w:rsid w:val="002A4FBC"/>
    <w:rPr>
      <w:sz w:val="16"/>
      <w:szCs w:val="16"/>
    </w:rPr>
  </w:style>
  <w:style w:type="paragraph" w:styleId="NoSpacing">
    <w:name w:val="No Spacing"/>
    <w:uiPriority w:val="1"/>
    <w:qFormat/>
    <w:rsid w:val="002A4FBC"/>
    <w:pPr>
      <w:spacing w:after="0" w:line="240" w:lineRule="auto"/>
    </w:pPr>
  </w:style>
  <w:style w:type="paragraph" w:styleId="Caption">
    <w:name w:val="caption"/>
    <w:basedOn w:val="NoSpacing"/>
    <w:next w:val="Normal"/>
    <w:uiPriority w:val="35"/>
    <w:unhideWhenUsed/>
    <w:qFormat/>
    <w:rsid w:val="002A4FBC"/>
    <w:pPr>
      <w:keepNext/>
      <w:spacing w:line="360" w:lineRule="auto"/>
      <w:jc w:val="both"/>
    </w:pPr>
    <w:rPr>
      <w:rFonts w:ascii="Times New Roman" w:hAnsi="Times New Roman" w:cs="Times New Roman"/>
      <w:b/>
      <w:sz w:val="24"/>
      <w:szCs w:val="24"/>
    </w:rPr>
  </w:style>
  <w:style w:type="paragraph" w:styleId="ListParagraph">
    <w:name w:val="List Paragraph"/>
    <w:basedOn w:val="Normal"/>
    <w:uiPriority w:val="34"/>
    <w:qFormat/>
    <w:rsid w:val="002A4FBC"/>
    <w:pPr>
      <w:spacing w:after="200" w:line="276" w:lineRule="auto"/>
      <w:ind w:left="720"/>
      <w:contextualSpacing/>
    </w:pPr>
  </w:style>
  <w:style w:type="character" w:customStyle="1" w:styleId="jlqj4b">
    <w:name w:val="jlqj4b"/>
    <w:basedOn w:val="DefaultParagraphFont"/>
    <w:rsid w:val="002A4FBC"/>
  </w:style>
  <w:style w:type="paragraph" w:styleId="FootnoteText">
    <w:name w:val="footnote text"/>
    <w:basedOn w:val="Normal"/>
    <w:link w:val="FootnoteTextChar"/>
    <w:uiPriority w:val="99"/>
    <w:unhideWhenUsed/>
    <w:rsid w:val="002A4FBC"/>
    <w:rPr>
      <w:sz w:val="20"/>
      <w:szCs w:val="20"/>
    </w:rPr>
  </w:style>
  <w:style w:type="character" w:customStyle="1" w:styleId="FootnoteTextChar">
    <w:name w:val="Footnote Text Char"/>
    <w:basedOn w:val="DefaultParagraphFont"/>
    <w:link w:val="FootnoteText"/>
    <w:uiPriority w:val="99"/>
    <w:rsid w:val="002A4FBC"/>
    <w:rPr>
      <w:sz w:val="20"/>
      <w:szCs w:val="20"/>
    </w:rPr>
  </w:style>
  <w:style w:type="character" w:styleId="FootnoteReference">
    <w:name w:val="footnote reference"/>
    <w:basedOn w:val="DefaultParagraphFont"/>
    <w:uiPriority w:val="99"/>
    <w:semiHidden/>
    <w:unhideWhenUsed/>
    <w:rsid w:val="002A4FBC"/>
    <w:rPr>
      <w:vertAlign w:val="superscript"/>
    </w:rPr>
  </w:style>
  <w:style w:type="paragraph" w:styleId="BalloonText">
    <w:name w:val="Balloon Text"/>
    <w:basedOn w:val="Normal"/>
    <w:link w:val="BalloonTextChar"/>
    <w:uiPriority w:val="99"/>
    <w:semiHidden/>
    <w:unhideWhenUsed/>
    <w:rsid w:val="002A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BC"/>
    <w:rPr>
      <w:rFonts w:ascii="Segoe UI" w:hAnsi="Segoe UI" w:cs="Segoe UI"/>
      <w:sz w:val="18"/>
      <w:szCs w:val="18"/>
    </w:rPr>
  </w:style>
  <w:style w:type="character" w:styleId="Hyperlink">
    <w:name w:val="Hyperlink"/>
    <w:basedOn w:val="DefaultParagraphFont"/>
    <w:uiPriority w:val="99"/>
    <w:unhideWhenUsed/>
    <w:rsid w:val="002A4FBC"/>
    <w:rPr>
      <w:color w:val="0563C1" w:themeColor="hyperlink"/>
      <w:u w:val="single"/>
    </w:rPr>
  </w:style>
  <w:style w:type="character" w:customStyle="1" w:styleId="CommentSubjectChar">
    <w:name w:val="Comment Subject Char"/>
    <w:basedOn w:val="CommentTextChar"/>
    <w:link w:val="CommentSubject"/>
    <w:uiPriority w:val="99"/>
    <w:semiHidden/>
    <w:rsid w:val="002A4FBC"/>
    <w:rPr>
      <w:b/>
      <w:bCs/>
      <w:sz w:val="20"/>
      <w:szCs w:val="20"/>
      <w:lang w:val="en-ZA"/>
    </w:rPr>
  </w:style>
  <w:style w:type="paragraph" w:styleId="CommentSubject">
    <w:name w:val="annotation subject"/>
    <w:basedOn w:val="CommentText"/>
    <w:next w:val="CommentText"/>
    <w:link w:val="CommentSubjectChar"/>
    <w:uiPriority w:val="99"/>
    <w:semiHidden/>
    <w:unhideWhenUsed/>
    <w:rsid w:val="002A4FBC"/>
    <w:rPr>
      <w:b/>
      <w:bCs/>
    </w:rPr>
  </w:style>
  <w:style w:type="character" w:customStyle="1" w:styleId="CommentSubjectChar1">
    <w:name w:val="Comment Subject Char1"/>
    <w:basedOn w:val="CommentTextChar"/>
    <w:uiPriority w:val="99"/>
    <w:semiHidden/>
    <w:rsid w:val="002A4FBC"/>
    <w:rPr>
      <w:b/>
      <w:bCs/>
      <w:sz w:val="20"/>
      <w:szCs w:val="20"/>
      <w:lang w:val="en-ZA"/>
    </w:rPr>
  </w:style>
  <w:style w:type="paragraph" w:styleId="Header">
    <w:name w:val="header"/>
    <w:basedOn w:val="Normal"/>
    <w:link w:val="HeaderChar"/>
    <w:uiPriority w:val="99"/>
    <w:unhideWhenUsed/>
    <w:rsid w:val="002A4FBC"/>
    <w:pPr>
      <w:tabs>
        <w:tab w:val="center" w:pos="4680"/>
        <w:tab w:val="right" w:pos="9360"/>
      </w:tabs>
    </w:pPr>
  </w:style>
  <w:style w:type="character" w:customStyle="1" w:styleId="HeaderChar">
    <w:name w:val="Header Char"/>
    <w:basedOn w:val="DefaultParagraphFont"/>
    <w:link w:val="Header"/>
    <w:uiPriority w:val="99"/>
    <w:rsid w:val="002A4FBC"/>
  </w:style>
  <w:style w:type="paragraph" w:styleId="Footer">
    <w:name w:val="footer"/>
    <w:basedOn w:val="Normal"/>
    <w:link w:val="FooterChar"/>
    <w:uiPriority w:val="99"/>
    <w:unhideWhenUsed/>
    <w:rsid w:val="002A4FBC"/>
    <w:pPr>
      <w:tabs>
        <w:tab w:val="center" w:pos="4680"/>
        <w:tab w:val="right" w:pos="9360"/>
      </w:tabs>
    </w:pPr>
  </w:style>
  <w:style w:type="character" w:customStyle="1" w:styleId="FooterChar">
    <w:name w:val="Footer Char"/>
    <w:basedOn w:val="DefaultParagraphFont"/>
    <w:link w:val="Footer"/>
    <w:uiPriority w:val="99"/>
    <w:rsid w:val="002A4FBC"/>
  </w:style>
  <w:style w:type="character" w:customStyle="1" w:styleId="fontstyle21">
    <w:name w:val="fontstyle21"/>
    <w:basedOn w:val="DefaultParagraphFont"/>
    <w:rsid w:val="002A4FBC"/>
    <w:rPr>
      <w:rFonts w:ascii="AdvTTe692faf0+fb" w:hAnsi="AdvTTe692faf0+fb" w:hint="default"/>
      <w:b w:val="0"/>
      <w:bCs w:val="0"/>
      <w:i w:val="0"/>
      <w:iCs w:val="0"/>
      <w:color w:val="242021"/>
      <w:sz w:val="14"/>
      <w:szCs w:val="14"/>
    </w:rPr>
  </w:style>
  <w:style w:type="character" w:customStyle="1" w:styleId="fontstyle31">
    <w:name w:val="fontstyle31"/>
    <w:basedOn w:val="DefaultParagraphFont"/>
    <w:rsid w:val="002A4FBC"/>
    <w:rPr>
      <w:rFonts w:ascii="AdvTTe692faf0+03" w:hAnsi="AdvTTe692faf0+03" w:hint="default"/>
      <w:b w:val="0"/>
      <w:bCs w:val="0"/>
      <w:i w:val="0"/>
      <w:iCs w:val="0"/>
      <w:color w:val="242021"/>
      <w:sz w:val="16"/>
      <w:szCs w:val="16"/>
    </w:rPr>
  </w:style>
  <w:style w:type="character" w:customStyle="1" w:styleId="fontstyle41">
    <w:name w:val="fontstyle41"/>
    <w:basedOn w:val="DefaultParagraphFont"/>
    <w:rsid w:val="002A4FBC"/>
    <w:rPr>
      <w:rFonts w:ascii="AdvTTe692faf0+22" w:hAnsi="AdvTTe692faf0+22"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s://doi.org/10.1016/S0301-4215(02)00314-2" TargetMode="External"/><Relationship Id="rId3" Type="http://schemas.openxmlformats.org/officeDocument/2006/relationships/styles" Target="styles.xml"/><Relationship Id="rId21" Type="http://schemas.openxmlformats.org/officeDocument/2006/relationships/hyperlink" Target="https://www.reg.rw/fileadmin/user_upload/REG_Annual_report_2021-2022.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minecofin.gov.rw/index.php?eID=dumpFile&amp;t=f&amp;f=12446&amp;token=61d7171de98c6fb6b8369166a481556db66930ad"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mininfra.gov.rw/digital-transformation-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iea.org/regions/africa,2022" TargetMode="External"/><Relationship Id="rId19" Type="http://schemas.openxmlformats.org/officeDocument/2006/relationships/hyperlink" Target="https://www.irena.org//media/Files/IRENA/Agency/Statistics/Statistical_Profiles/Africa/Rwanda_Africa_RE_SP.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Electricity</c:v>
                </c:pt>
                <c:pt idx="1">
                  <c:v>Bioenergy</c:v>
                </c:pt>
                <c:pt idx="2">
                  <c:v>Industry</c:v>
                </c:pt>
                <c:pt idx="3">
                  <c:v>Household</c:v>
                </c:pt>
              </c:strCache>
            </c:strRef>
          </c:cat>
          <c:val>
            <c:numRef>
              <c:f>Sheet1!$B$2:$B$5</c:f>
              <c:numCache>
                <c:formatCode>General</c:formatCode>
                <c:ptCount val="4"/>
                <c:pt idx="0">
                  <c:v>1032</c:v>
                </c:pt>
                <c:pt idx="1">
                  <c:v>67192</c:v>
                </c:pt>
                <c:pt idx="2">
                  <c:v>5460</c:v>
                </c:pt>
                <c:pt idx="3">
                  <c:v>62763</c:v>
                </c:pt>
              </c:numCache>
            </c:numRef>
          </c:val>
          <c:extLst>
            <c:ext xmlns:c16="http://schemas.microsoft.com/office/drawing/2014/chart" uri="{C3380CC4-5D6E-409C-BE32-E72D297353CC}">
              <c16:uniqueId val="{00000000-9683-48F4-98F3-EED327B3CCAA}"/>
            </c:ext>
          </c:extLst>
        </c:ser>
        <c:ser>
          <c:idx val="1"/>
          <c:order val="1"/>
          <c:tx>
            <c:strRef>
              <c:f>Sheet1!$C$1</c:f>
              <c:strCache>
                <c:ptCount val="1"/>
                <c:pt idx="0">
                  <c:v>year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Electricity</c:v>
                </c:pt>
                <c:pt idx="1">
                  <c:v>Bioenergy</c:v>
                </c:pt>
                <c:pt idx="2">
                  <c:v>Industry</c:v>
                </c:pt>
                <c:pt idx="3">
                  <c:v>Household</c:v>
                </c:pt>
              </c:strCache>
            </c:strRef>
          </c:cat>
          <c:val>
            <c:numRef>
              <c:f>Sheet1!$C$2:$C$5</c:f>
              <c:numCache>
                <c:formatCode>General</c:formatCode>
                <c:ptCount val="4"/>
                <c:pt idx="0">
                  <c:v>1495</c:v>
                </c:pt>
                <c:pt idx="1">
                  <c:v>68767</c:v>
                </c:pt>
                <c:pt idx="2">
                  <c:v>6149</c:v>
                </c:pt>
                <c:pt idx="3">
                  <c:v>63852</c:v>
                </c:pt>
              </c:numCache>
            </c:numRef>
          </c:val>
          <c:extLst>
            <c:ext xmlns:c16="http://schemas.microsoft.com/office/drawing/2014/chart" uri="{C3380CC4-5D6E-409C-BE32-E72D297353CC}">
              <c16:uniqueId val="{00000001-9683-48F4-98F3-EED327B3CCAA}"/>
            </c:ext>
          </c:extLst>
        </c:ser>
        <c:dLbls>
          <c:showLegendKey val="0"/>
          <c:showVal val="0"/>
          <c:showCatName val="0"/>
          <c:showSerName val="0"/>
          <c:showPercent val="0"/>
          <c:showBubbleSize val="0"/>
        </c:dLbls>
        <c:gapWidth val="219"/>
        <c:overlap val="-27"/>
        <c:axId val="419072936"/>
        <c:axId val="419073328"/>
      </c:barChart>
      <c:catAx>
        <c:axId val="419072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073328"/>
        <c:crosses val="autoZero"/>
        <c:auto val="1"/>
        <c:lblAlgn val="ctr"/>
        <c:lblOffset val="100"/>
        <c:noMultiLvlLbl val="0"/>
      </c:catAx>
      <c:valAx>
        <c:axId val="4190733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072936"/>
        <c:crosses val="autoZero"/>
        <c:crossBetween val="between"/>
        <c:dispUnits>
          <c:builtInUnit val="thousands"/>
          <c:dispUnitsLbl>
            <c:layout>
              <c:manualLayout>
                <c:xMode val="edge"/>
                <c:yMode val="edge"/>
                <c:x val="0"/>
                <c:y val="0.32043650793650791"/>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Energy</a:t>
                  </a:r>
                  <a:r>
                    <a:rPr lang="en-US" sz="1200" baseline="0">
                      <a:latin typeface="Times New Roman" panose="02020603050405020304" pitchFamily="18" charset="0"/>
                      <a:cs typeface="Times New Roman" panose="02020603050405020304" pitchFamily="18" charset="0"/>
                    </a:rPr>
                    <a:t> consumption in terajoule(</a:t>
                  </a:r>
                  <a:r>
                    <a:rPr lang="en-US" sz="1200">
                      <a:latin typeface="Times New Roman" panose="02020603050405020304" pitchFamily="18" charset="0"/>
                      <a:cs typeface="Times New Roman" panose="02020603050405020304" pitchFamily="18" charset="0"/>
                    </a:rPr>
                    <a:t>Thousands</a:t>
                  </a:r>
                  <a:r>
                    <a:rPr lang="en-US"/>
                    <a:t>)</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Energy Consumption by Subsector</c:v>
                </c:pt>
              </c:strCache>
            </c:strRef>
          </c:tx>
          <c:dLbls>
            <c:dLbl>
              <c:idx val="1"/>
              <c:layout>
                <c:manualLayout>
                  <c:x val="-1.6203703703703703E-2"/>
                  <c:y val="6.349206349206348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56-4E46-9BF8-2227C5B75135}"/>
                </c:ext>
              </c:extLst>
            </c:dLbl>
            <c:dLbl>
              <c:idx val="2"/>
              <c:layout>
                <c:manualLayout>
                  <c:x val="-7.0093457943925233E-3"/>
                  <c:y val="-1.05660037017284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56-4E46-9BF8-2227C5B75135}"/>
                </c:ext>
              </c:extLst>
            </c:dLbl>
            <c:dLbl>
              <c:idx val="3"/>
              <c:layout>
                <c:manualLayout>
                  <c:x val="4.8611111111111112E-2"/>
                  <c:y val="-3.571428571428571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56-4E46-9BF8-2227C5B75135}"/>
                </c:ext>
              </c:extLst>
            </c:dLbl>
            <c:spPr>
              <a:gradFill>
                <a:gsLst>
                  <a:gs pos="37500">
                    <a:srgbClr val="B8CAEB"/>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200">
                    <a:latin typeface="Times New Roman" pitchFamily="18" charset="0"/>
                    <a:cs typeface="Times New Roman" pitchFamily="18" charset="0"/>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Household</c:v>
                </c:pt>
                <c:pt idx="1">
                  <c:v>Transportation</c:v>
                </c:pt>
                <c:pt idx="2">
                  <c:v>Industry</c:v>
                </c:pt>
                <c:pt idx="3">
                  <c:v>Others</c:v>
                </c:pt>
              </c:strCache>
            </c:strRef>
          </c:cat>
          <c:val>
            <c:numRef>
              <c:f>Sheet1!$B$2:$B$5</c:f>
              <c:numCache>
                <c:formatCode>0%</c:formatCode>
                <c:ptCount val="4"/>
                <c:pt idx="0">
                  <c:v>0.82</c:v>
                </c:pt>
                <c:pt idx="1">
                  <c:v>0.08</c:v>
                </c:pt>
                <c:pt idx="2">
                  <c:v>0.06</c:v>
                </c:pt>
                <c:pt idx="3">
                  <c:v>0.04</c:v>
                </c:pt>
              </c:numCache>
            </c:numRef>
          </c:val>
          <c:extLst>
            <c:ext xmlns:c16="http://schemas.microsoft.com/office/drawing/2014/chart" uri="{C3380CC4-5D6E-409C-BE32-E72D297353CC}">
              <c16:uniqueId val="{00000003-BB56-4E46-9BF8-2227C5B7513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890F-C2F0-440D-AB79-45841934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37</Pages>
  <Words>11574</Words>
  <Characters>65168</Characters>
  <Application>Microsoft Office Word</Application>
  <DocSecurity>0</DocSecurity>
  <Lines>5924</Lines>
  <Paragraphs>4514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Dr. Edward KADOZI </cp:lastModifiedBy>
  <cp:revision>8</cp:revision>
  <dcterms:created xsi:type="dcterms:W3CDTF">2023-05-24T14:27:00Z</dcterms:created>
  <dcterms:modified xsi:type="dcterms:W3CDTF">2023-06-23T09:43:00Z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dcb5499c-2bd2-4590-bc1c-6501e8bf950b</vt:lpwstr>
  </property>
</Properties>
</file>